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8E4648" w14:textId="2CD74188" w:rsidR="00EB08F5" w:rsidRPr="009024F5" w:rsidRDefault="00EB08F5" w:rsidP="009024F5">
      <w:pPr>
        <w:spacing w:after="0" w:line="240" w:lineRule="auto"/>
        <w:jc w:val="both"/>
        <w:rPr>
          <w:rFonts w:ascii="Work Sans" w:hAnsi="Work Sans" w:cs="Times New Roman"/>
          <w:b/>
          <w:bCs/>
          <w:sz w:val="24"/>
          <w:szCs w:val="24"/>
        </w:rPr>
      </w:pPr>
      <w:bookmarkStart w:id="0" w:name="_Hlk101184056"/>
      <w:bookmarkStart w:id="1" w:name="_Hlk101183880"/>
      <w:bookmarkStart w:id="2" w:name="_GoBack"/>
      <w:bookmarkEnd w:id="2"/>
      <w:r w:rsidRPr="009024F5">
        <w:rPr>
          <w:rFonts w:ascii="Work Sans" w:hAnsi="Work Sans" w:cs="Times New Roman"/>
          <w:b/>
          <w:bCs/>
          <w:sz w:val="24"/>
          <w:szCs w:val="24"/>
        </w:rPr>
        <w:t xml:space="preserve">RESPUESTA DEL MINISTERIO DE MINAS Y ENERGÍA </w:t>
      </w:r>
      <w:bookmarkStart w:id="3" w:name="_Hlk108684118"/>
      <w:r w:rsidRPr="009024F5">
        <w:rPr>
          <w:rFonts w:ascii="Work Sans" w:hAnsi="Work Sans" w:cs="Times New Roman"/>
          <w:b/>
          <w:bCs/>
          <w:sz w:val="24"/>
          <w:szCs w:val="24"/>
        </w:rPr>
        <w:t>A LA</w:t>
      </w:r>
      <w:bookmarkEnd w:id="0"/>
      <w:bookmarkEnd w:id="1"/>
      <w:bookmarkEnd w:id="3"/>
      <w:r w:rsidR="000A3ECD" w:rsidRPr="009024F5">
        <w:rPr>
          <w:rFonts w:ascii="Work Sans" w:hAnsi="Work Sans" w:cs="Times New Roman"/>
          <w:b/>
          <w:bCs/>
          <w:sz w:val="24"/>
          <w:szCs w:val="24"/>
        </w:rPr>
        <w:t xml:space="preserve"> PROPOSICIÓN N</w:t>
      </w:r>
      <w:r w:rsidR="008C5B0A">
        <w:rPr>
          <w:rFonts w:ascii="Work Sans" w:hAnsi="Work Sans" w:cs="Times New Roman"/>
          <w:b/>
          <w:bCs/>
          <w:sz w:val="24"/>
          <w:szCs w:val="24"/>
        </w:rPr>
        <w:t>O</w:t>
      </w:r>
      <w:r w:rsidR="000A3ECD" w:rsidRPr="009024F5">
        <w:rPr>
          <w:rFonts w:ascii="Work Sans" w:hAnsi="Work Sans" w:cs="Times New Roman"/>
          <w:b/>
          <w:bCs/>
          <w:sz w:val="24"/>
          <w:szCs w:val="24"/>
        </w:rPr>
        <w:t xml:space="preserve">. 12 DE 2022 </w:t>
      </w:r>
      <w:r w:rsidRPr="009024F5">
        <w:rPr>
          <w:rFonts w:ascii="Work Sans" w:hAnsi="Work Sans" w:cs="Times New Roman"/>
          <w:b/>
          <w:bCs/>
          <w:sz w:val="24"/>
          <w:szCs w:val="24"/>
        </w:rPr>
        <w:t>RELACIONADA CON</w:t>
      </w:r>
      <w:r w:rsidR="000A3ECD" w:rsidRPr="009024F5">
        <w:rPr>
          <w:rFonts w:ascii="Work Sans" w:hAnsi="Work Sans" w:cs="Times New Roman"/>
          <w:b/>
          <w:bCs/>
          <w:sz w:val="24"/>
          <w:szCs w:val="24"/>
        </w:rPr>
        <w:t xml:space="preserve"> </w:t>
      </w:r>
      <w:r w:rsidR="000A3ECD" w:rsidRPr="009024F5">
        <w:rPr>
          <w:rFonts w:ascii="Work Sans" w:hAnsi="Work Sans" w:cs="Times New Roman"/>
          <w:b/>
          <w:bCs/>
          <w:i/>
          <w:iCs/>
          <w:sz w:val="24"/>
          <w:szCs w:val="24"/>
        </w:rPr>
        <w:t>“LA EJECUCIÓN PRESUPUESTAL DE LA VIGENCIA 2022</w:t>
      </w:r>
      <w:r w:rsidRPr="009024F5">
        <w:rPr>
          <w:rFonts w:ascii="Work Sans" w:hAnsi="Work Sans" w:cs="Times New Roman"/>
          <w:b/>
          <w:bCs/>
          <w:sz w:val="24"/>
          <w:szCs w:val="24"/>
        </w:rPr>
        <w:t>,</w:t>
      </w:r>
      <w:r w:rsidR="000A3ECD" w:rsidRPr="009024F5">
        <w:rPr>
          <w:rFonts w:ascii="Work Sans" w:hAnsi="Work Sans" w:cs="Times New Roman"/>
          <w:b/>
          <w:bCs/>
          <w:sz w:val="24"/>
          <w:szCs w:val="24"/>
        </w:rPr>
        <w:t xml:space="preserve"> </w:t>
      </w:r>
      <w:r w:rsidR="008C5B0A">
        <w:rPr>
          <w:rFonts w:ascii="Work Sans" w:hAnsi="Work Sans" w:cs="Times New Roman"/>
          <w:b/>
          <w:bCs/>
          <w:sz w:val="24"/>
          <w:szCs w:val="24"/>
        </w:rPr>
        <w:t>PRESENTADA</w:t>
      </w:r>
      <w:r w:rsidRPr="009024F5">
        <w:rPr>
          <w:rFonts w:ascii="Work Sans" w:hAnsi="Work Sans" w:cs="Times New Roman"/>
          <w:b/>
          <w:bCs/>
          <w:sz w:val="24"/>
          <w:szCs w:val="24"/>
        </w:rPr>
        <w:t xml:space="preserve"> POR </w:t>
      </w:r>
      <w:r w:rsidR="000A3ECD" w:rsidRPr="009024F5">
        <w:rPr>
          <w:rFonts w:ascii="Work Sans" w:hAnsi="Work Sans" w:cs="Times New Roman"/>
          <w:b/>
          <w:bCs/>
          <w:sz w:val="24"/>
          <w:szCs w:val="24"/>
        </w:rPr>
        <w:t xml:space="preserve">LA </w:t>
      </w:r>
      <w:r w:rsidRPr="009024F5">
        <w:rPr>
          <w:rFonts w:ascii="Work Sans" w:hAnsi="Work Sans" w:cs="Times New Roman"/>
          <w:b/>
          <w:bCs/>
          <w:sz w:val="24"/>
          <w:szCs w:val="24"/>
        </w:rPr>
        <w:t>H.R.</w:t>
      </w:r>
      <w:bookmarkStart w:id="4" w:name="_Hlk117796125"/>
      <w:r w:rsidR="000A3ECD" w:rsidRPr="009024F5">
        <w:rPr>
          <w:rFonts w:ascii="Work Sans" w:hAnsi="Work Sans" w:cs="Times New Roman"/>
          <w:b/>
          <w:bCs/>
          <w:sz w:val="24"/>
          <w:szCs w:val="24"/>
        </w:rPr>
        <w:t xml:space="preserve"> OLGA LUCÍA VELÁSQUEZ NIETO</w:t>
      </w:r>
      <w:r w:rsidRPr="009024F5">
        <w:rPr>
          <w:rFonts w:ascii="Work Sans" w:hAnsi="Work Sans" w:cs="Times New Roman"/>
          <w:b/>
          <w:bCs/>
          <w:sz w:val="24"/>
          <w:szCs w:val="24"/>
        </w:rPr>
        <w:t>.</w:t>
      </w:r>
    </w:p>
    <w:bookmarkEnd w:id="4"/>
    <w:p w14:paraId="182AF6CD" w14:textId="77777777" w:rsidR="00EB08F5" w:rsidRPr="009024F5" w:rsidRDefault="00EB08F5" w:rsidP="009024F5">
      <w:pPr>
        <w:spacing w:after="0" w:line="240" w:lineRule="auto"/>
        <w:jc w:val="both"/>
        <w:rPr>
          <w:rFonts w:ascii="Work Sans" w:hAnsi="Work Sans" w:cs="Times New Roman"/>
          <w:sz w:val="24"/>
          <w:szCs w:val="24"/>
        </w:rPr>
      </w:pPr>
    </w:p>
    <w:p w14:paraId="434AC441" w14:textId="2BE926ED" w:rsidR="00EB08F5" w:rsidRPr="009024F5" w:rsidRDefault="003E4929" w:rsidP="009024F5">
      <w:pPr>
        <w:pStyle w:val="NormalWeb"/>
        <w:spacing w:beforeAutospacing="0" w:after="0" w:afterAutospacing="0"/>
        <w:ind w:right="51"/>
        <w:contextualSpacing/>
        <w:jc w:val="both"/>
        <w:rPr>
          <w:rFonts w:ascii="Work Sans" w:hAnsi="Work Sans" w:cs="Arial"/>
          <w:lang w:val="es-ES"/>
        </w:rPr>
      </w:pPr>
      <w:r w:rsidRPr="009024F5">
        <w:rPr>
          <w:rFonts w:ascii="Work Sans" w:hAnsi="Work Sans"/>
        </w:rPr>
        <w:t xml:space="preserve">En el marco de las funciones </w:t>
      </w:r>
      <w:r w:rsidR="0017299A" w:rsidRPr="009024F5">
        <w:rPr>
          <w:rFonts w:ascii="Work Sans" w:hAnsi="Work Sans"/>
        </w:rPr>
        <w:t xml:space="preserve">y competencias otorgadas al </w:t>
      </w:r>
      <w:r w:rsidRPr="009024F5">
        <w:rPr>
          <w:rFonts w:ascii="Work Sans" w:hAnsi="Work Sans"/>
        </w:rPr>
        <w:t>Ministerio de Minas y Energía</w:t>
      </w:r>
      <w:r w:rsidR="0017299A" w:rsidRPr="009024F5">
        <w:rPr>
          <w:rFonts w:ascii="Work Sans" w:hAnsi="Work Sans"/>
        </w:rPr>
        <w:t xml:space="preserve"> mediante </w:t>
      </w:r>
      <w:r w:rsidRPr="009024F5">
        <w:rPr>
          <w:rFonts w:ascii="Work Sans" w:hAnsi="Work Sans"/>
        </w:rPr>
        <w:t>Decreto No. 381 de 2012, d</w:t>
      </w:r>
      <w:r w:rsidR="00EB08F5" w:rsidRPr="009024F5">
        <w:rPr>
          <w:rFonts w:ascii="Work Sans" w:hAnsi="Work Sans"/>
        </w:rPr>
        <w:t>e manera atenta</w:t>
      </w:r>
      <w:r w:rsidR="0017299A" w:rsidRPr="009024F5">
        <w:rPr>
          <w:rFonts w:ascii="Work Sans" w:hAnsi="Work Sans"/>
        </w:rPr>
        <w:t xml:space="preserve"> </w:t>
      </w:r>
      <w:r w:rsidR="00EB08F5" w:rsidRPr="009024F5">
        <w:rPr>
          <w:rFonts w:ascii="Work Sans" w:hAnsi="Work Sans"/>
        </w:rPr>
        <w:t xml:space="preserve">nos permitimos </w:t>
      </w:r>
      <w:r w:rsidR="000A3ECD" w:rsidRPr="009024F5">
        <w:rPr>
          <w:rFonts w:ascii="Work Sans" w:hAnsi="Work Sans" w:cs="Arial"/>
        </w:rPr>
        <w:t xml:space="preserve">dar </w:t>
      </w:r>
      <w:r w:rsidR="009024F5">
        <w:rPr>
          <w:rFonts w:ascii="Work Sans" w:hAnsi="Work Sans" w:cs="Arial"/>
        </w:rPr>
        <w:t>respuesta</w:t>
      </w:r>
      <w:r w:rsidR="000A3ECD" w:rsidRPr="009024F5">
        <w:rPr>
          <w:rFonts w:ascii="Work Sans" w:hAnsi="Work Sans" w:cs="Arial"/>
          <w:lang w:val="es-ES"/>
        </w:rPr>
        <w:t xml:space="preserve"> a la Proposición No. 12 de 2022</w:t>
      </w:r>
      <w:r w:rsidR="001829F6" w:rsidRPr="009024F5">
        <w:rPr>
          <w:rFonts w:ascii="Work Sans" w:hAnsi="Work Sans" w:cs="Arial"/>
          <w:lang w:val="es-ES"/>
        </w:rPr>
        <w:t xml:space="preserve">, </w:t>
      </w:r>
      <w:r w:rsidR="00A12317" w:rsidRPr="009024F5">
        <w:rPr>
          <w:rFonts w:ascii="Work Sans" w:hAnsi="Work Sans" w:cs="Arial"/>
          <w:lang w:val="es-ES"/>
        </w:rPr>
        <w:t>de conformidad con la información remitida por la Subdirección Administrativa y Financiera del Mini</w:t>
      </w:r>
      <w:r w:rsidR="001829F6" w:rsidRPr="009024F5">
        <w:rPr>
          <w:rFonts w:ascii="Work Sans" w:hAnsi="Work Sans" w:cs="Arial"/>
          <w:lang w:val="es-ES"/>
        </w:rPr>
        <w:t>s</w:t>
      </w:r>
      <w:r w:rsidR="00A12317" w:rsidRPr="009024F5">
        <w:rPr>
          <w:rFonts w:ascii="Work Sans" w:hAnsi="Work Sans" w:cs="Arial"/>
          <w:lang w:val="es-ES"/>
        </w:rPr>
        <w:t xml:space="preserve">terio </w:t>
      </w:r>
      <w:r w:rsidR="000A3ECD" w:rsidRPr="009024F5">
        <w:rPr>
          <w:rFonts w:ascii="Work Sans" w:hAnsi="Work Sans" w:cs="Arial"/>
          <w:lang w:val="es-ES"/>
        </w:rPr>
        <w:t>en los siguientes términos:</w:t>
      </w:r>
    </w:p>
    <w:p w14:paraId="7B811882" w14:textId="58F9DA6B" w:rsidR="00EB08F5" w:rsidRDefault="00EB08F5" w:rsidP="009024F5">
      <w:pPr>
        <w:spacing w:after="0" w:line="240" w:lineRule="auto"/>
        <w:rPr>
          <w:rFonts w:ascii="Work Sans" w:hAnsi="Work Sans" w:cs="Times New Roman"/>
          <w:b/>
          <w:bCs/>
          <w:sz w:val="24"/>
          <w:szCs w:val="24"/>
          <w:lang w:val="es-ES"/>
        </w:rPr>
      </w:pPr>
    </w:p>
    <w:p w14:paraId="043D16D0" w14:textId="77777777" w:rsidR="008C5B0A" w:rsidRPr="009024F5" w:rsidRDefault="008C5B0A" w:rsidP="009024F5">
      <w:pPr>
        <w:spacing w:after="0" w:line="240" w:lineRule="auto"/>
        <w:rPr>
          <w:rFonts w:ascii="Work Sans" w:hAnsi="Work Sans" w:cs="Times New Roman"/>
          <w:b/>
          <w:bCs/>
          <w:sz w:val="24"/>
          <w:szCs w:val="24"/>
          <w:lang w:val="es-ES"/>
        </w:rPr>
      </w:pPr>
    </w:p>
    <w:p w14:paraId="231AA7CC" w14:textId="7AA306FC" w:rsidR="000A3ECD" w:rsidRPr="00802606" w:rsidRDefault="00802606" w:rsidP="00802606">
      <w:pPr>
        <w:pStyle w:val="Prrafodelista"/>
        <w:numPr>
          <w:ilvl w:val="0"/>
          <w:numId w:val="7"/>
        </w:numPr>
        <w:spacing w:after="0" w:line="276" w:lineRule="auto"/>
        <w:jc w:val="both"/>
        <w:rPr>
          <w:rFonts w:ascii="Work Sans" w:hAnsi="Work Sans" w:cs="Arial"/>
          <w:b/>
          <w:sz w:val="24"/>
          <w:szCs w:val="24"/>
          <w:lang w:val="es-MX"/>
        </w:rPr>
      </w:pPr>
      <w:r w:rsidRPr="00802606">
        <w:rPr>
          <w:rFonts w:ascii="Work Sans" w:hAnsi="Work Sans" w:cs="Arial"/>
          <w:b/>
          <w:sz w:val="24"/>
          <w:szCs w:val="24"/>
          <w:lang w:val="es-MX"/>
        </w:rPr>
        <w:t>Informe detallado del Presupuesto de funcionamiento e inversión asignado al Ministerio de Minas y Energía – Gestión General, mediante Ley 2159 de 2021 y Decreto 1793 de 2021 donde se identifica:</w:t>
      </w:r>
    </w:p>
    <w:p w14:paraId="2458B84C" w14:textId="77777777" w:rsidR="00802606" w:rsidRPr="00802606" w:rsidRDefault="00802606" w:rsidP="00802606">
      <w:pPr>
        <w:pStyle w:val="Prrafodelista"/>
        <w:spacing w:after="0" w:line="276" w:lineRule="auto"/>
        <w:ind w:left="786"/>
        <w:jc w:val="both"/>
        <w:rPr>
          <w:rFonts w:ascii="Work Sans" w:hAnsi="Work Sans" w:cs="Arial"/>
          <w:b/>
          <w:sz w:val="24"/>
          <w:szCs w:val="24"/>
          <w:lang w:val="es-MX"/>
        </w:rPr>
      </w:pPr>
    </w:p>
    <w:p w14:paraId="50A412E7" w14:textId="0B75CBD2" w:rsidR="000A3ECD" w:rsidRPr="009024F5" w:rsidRDefault="000A3ECD" w:rsidP="009024F5">
      <w:pPr>
        <w:pStyle w:val="Prrafodelista"/>
        <w:numPr>
          <w:ilvl w:val="0"/>
          <w:numId w:val="5"/>
        </w:numPr>
        <w:suppressAutoHyphens/>
        <w:spacing w:after="0" w:line="240" w:lineRule="auto"/>
        <w:jc w:val="both"/>
        <w:rPr>
          <w:rFonts w:ascii="Work Sans" w:hAnsi="Work Sans" w:cs="Arial"/>
          <w:b/>
          <w:sz w:val="24"/>
          <w:szCs w:val="24"/>
          <w:lang w:val="es-MX"/>
        </w:rPr>
      </w:pPr>
      <w:r w:rsidRPr="009024F5">
        <w:rPr>
          <w:rFonts w:ascii="Work Sans" w:hAnsi="Work Sans" w:cs="Arial"/>
          <w:b/>
          <w:sz w:val="24"/>
          <w:szCs w:val="24"/>
          <w:lang w:val="es-MX"/>
        </w:rPr>
        <w:t xml:space="preserve">Ejecución </w:t>
      </w:r>
      <w:r w:rsidR="00F64E17" w:rsidRPr="009024F5">
        <w:rPr>
          <w:rFonts w:ascii="Work Sans" w:hAnsi="Work Sans" w:cs="Arial"/>
          <w:b/>
          <w:sz w:val="24"/>
          <w:szCs w:val="24"/>
          <w:lang w:val="es-MX"/>
        </w:rPr>
        <w:t>p</w:t>
      </w:r>
      <w:r w:rsidRPr="009024F5">
        <w:rPr>
          <w:rFonts w:ascii="Work Sans" w:hAnsi="Work Sans" w:cs="Arial"/>
          <w:b/>
          <w:sz w:val="24"/>
          <w:szCs w:val="24"/>
          <w:lang w:val="es-MX"/>
        </w:rPr>
        <w:t>resupuestal Ministerio de Minas y Energía con corte a noviembre 30 de 2022</w:t>
      </w:r>
      <w:r w:rsidR="00F64E17" w:rsidRPr="009024F5">
        <w:rPr>
          <w:rFonts w:ascii="Work Sans" w:hAnsi="Work Sans" w:cs="Arial"/>
          <w:b/>
          <w:sz w:val="24"/>
          <w:szCs w:val="24"/>
          <w:lang w:val="es-MX"/>
        </w:rPr>
        <w:t>.</w:t>
      </w:r>
    </w:p>
    <w:p w14:paraId="417600EF" w14:textId="4118F661" w:rsidR="000A3ECD" w:rsidRPr="009024F5" w:rsidRDefault="000A3ECD" w:rsidP="009024F5">
      <w:pPr>
        <w:pStyle w:val="Prrafodelista"/>
        <w:numPr>
          <w:ilvl w:val="0"/>
          <w:numId w:val="5"/>
        </w:numPr>
        <w:suppressAutoHyphens/>
        <w:spacing w:after="0" w:line="240" w:lineRule="auto"/>
        <w:jc w:val="both"/>
        <w:rPr>
          <w:rFonts w:ascii="Work Sans" w:hAnsi="Work Sans" w:cs="Arial"/>
          <w:b/>
          <w:sz w:val="24"/>
          <w:szCs w:val="24"/>
          <w:lang w:val="es-MX"/>
        </w:rPr>
      </w:pPr>
      <w:r w:rsidRPr="009024F5">
        <w:rPr>
          <w:rFonts w:ascii="Work Sans" w:hAnsi="Work Sans" w:cs="Arial"/>
          <w:b/>
          <w:sz w:val="24"/>
          <w:szCs w:val="24"/>
          <w:lang w:val="es-MX"/>
        </w:rPr>
        <w:t>Presupuesto comprometido con corte a noviembre 30 de 2022</w:t>
      </w:r>
      <w:r w:rsidR="00F64E17" w:rsidRPr="009024F5">
        <w:rPr>
          <w:rFonts w:ascii="Work Sans" w:hAnsi="Work Sans" w:cs="Arial"/>
          <w:b/>
          <w:sz w:val="24"/>
          <w:szCs w:val="24"/>
          <w:lang w:val="es-MX"/>
        </w:rPr>
        <w:t>.</w:t>
      </w:r>
    </w:p>
    <w:p w14:paraId="670EA292" w14:textId="75B0BED4" w:rsidR="000A3ECD" w:rsidRPr="009024F5" w:rsidRDefault="000A3ECD" w:rsidP="009024F5">
      <w:pPr>
        <w:pStyle w:val="Prrafodelista"/>
        <w:numPr>
          <w:ilvl w:val="0"/>
          <w:numId w:val="5"/>
        </w:numPr>
        <w:suppressAutoHyphens/>
        <w:spacing w:after="0" w:line="240" w:lineRule="auto"/>
        <w:jc w:val="both"/>
        <w:rPr>
          <w:rFonts w:ascii="Work Sans" w:hAnsi="Work Sans" w:cs="Arial"/>
          <w:b/>
          <w:sz w:val="24"/>
          <w:szCs w:val="24"/>
          <w:lang w:val="es-MX"/>
        </w:rPr>
      </w:pPr>
      <w:r w:rsidRPr="009024F5">
        <w:rPr>
          <w:rFonts w:ascii="Work Sans" w:hAnsi="Work Sans" w:cs="Arial"/>
          <w:b/>
          <w:sz w:val="24"/>
          <w:szCs w:val="24"/>
          <w:lang w:val="es-MX"/>
        </w:rPr>
        <w:t>Presupuesto sin ejecutar con corte a noviembre 30 de 2022</w:t>
      </w:r>
      <w:r w:rsidR="00F64E17" w:rsidRPr="009024F5">
        <w:rPr>
          <w:rFonts w:ascii="Work Sans" w:hAnsi="Work Sans" w:cs="Arial"/>
          <w:b/>
          <w:sz w:val="24"/>
          <w:szCs w:val="24"/>
          <w:lang w:val="es-MX"/>
        </w:rPr>
        <w:t>.</w:t>
      </w:r>
    </w:p>
    <w:p w14:paraId="377F9B66" w14:textId="1895B1D2" w:rsidR="000A3ECD" w:rsidRPr="009024F5" w:rsidRDefault="000A3ECD" w:rsidP="009024F5">
      <w:pPr>
        <w:pStyle w:val="Prrafodelista"/>
        <w:numPr>
          <w:ilvl w:val="0"/>
          <w:numId w:val="5"/>
        </w:numPr>
        <w:suppressAutoHyphens/>
        <w:spacing w:after="0" w:line="240" w:lineRule="auto"/>
        <w:jc w:val="both"/>
        <w:rPr>
          <w:rFonts w:ascii="Work Sans" w:hAnsi="Work Sans" w:cs="Arial"/>
          <w:b/>
          <w:sz w:val="24"/>
          <w:szCs w:val="24"/>
          <w:lang w:val="es-MX"/>
        </w:rPr>
      </w:pPr>
      <w:r w:rsidRPr="009024F5">
        <w:rPr>
          <w:rFonts w:ascii="Work Sans" w:hAnsi="Work Sans" w:cs="Arial"/>
          <w:b/>
          <w:sz w:val="24"/>
          <w:szCs w:val="24"/>
          <w:lang w:val="es-MX"/>
        </w:rPr>
        <w:t>Presupuesto girado (pagos) con corte a noviembre 30 de 2022</w:t>
      </w:r>
      <w:r w:rsidR="00F64E17" w:rsidRPr="009024F5">
        <w:rPr>
          <w:rFonts w:ascii="Work Sans" w:hAnsi="Work Sans" w:cs="Arial"/>
          <w:b/>
          <w:sz w:val="24"/>
          <w:szCs w:val="24"/>
          <w:lang w:val="es-MX"/>
        </w:rPr>
        <w:t>.</w:t>
      </w:r>
    </w:p>
    <w:p w14:paraId="35796229" w14:textId="77777777" w:rsidR="000A3ECD" w:rsidRPr="009024F5" w:rsidRDefault="000A3ECD" w:rsidP="009024F5">
      <w:pPr>
        <w:pStyle w:val="Prrafodelista"/>
        <w:suppressAutoHyphens/>
        <w:spacing w:after="0" w:line="240" w:lineRule="auto"/>
        <w:ind w:left="360"/>
        <w:jc w:val="both"/>
        <w:rPr>
          <w:rFonts w:ascii="Work Sans" w:hAnsi="Work Sans" w:cs="Arial"/>
          <w:bCs/>
          <w:sz w:val="24"/>
          <w:szCs w:val="24"/>
          <w:lang w:val="es-MX"/>
        </w:rPr>
      </w:pPr>
    </w:p>
    <w:p w14:paraId="450D3A92" w14:textId="77777777" w:rsidR="009024F5" w:rsidRDefault="000A3ECD" w:rsidP="009024F5">
      <w:pPr>
        <w:pStyle w:val="Prrafodelista"/>
        <w:suppressAutoHyphens/>
        <w:spacing w:after="0" w:line="240" w:lineRule="auto"/>
        <w:ind w:left="0"/>
        <w:jc w:val="center"/>
        <w:rPr>
          <w:rFonts w:ascii="Work Sans" w:hAnsi="Work Sans" w:cs="Arial"/>
          <w:b/>
          <w:sz w:val="20"/>
          <w:szCs w:val="20"/>
          <w:lang w:val="es-MX"/>
        </w:rPr>
      </w:pPr>
      <w:r w:rsidRPr="009024F5">
        <w:rPr>
          <w:rFonts w:ascii="Work Sans" w:hAnsi="Work Sans" w:cs="Arial"/>
          <w:b/>
          <w:sz w:val="20"/>
          <w:szCs w:val="20"/>
          <w:lang w:val="es-MX"/>
        </w:rPr>
        <w:t>EJECUCIÓN PRESUPUESTAL MINISTERIO DE MINAS Y ENERGÍA- GESTIÓN GENERAL A 30 DE NOVIEMBRE DE 2022</w:t>
      </w:r>
    </w:p>
    <w:p w14:paraId="5D9A1C8F" w14:textId="77777777" w:rsidR="009024F5" w:rsidRDefault="009024F5" w:rsidP="009024F5">
      <w:pPr>
        <w:pStyle w:val="Prrafodelista"/>
        <w:suppressAutoHyphens/>
        <w:spacing w:after="0" w:line="240" w:lineRule="auto"/>
        <w:ind w:left="0"/>
        <w:jc w:val="center"/>
        <w:rPr>
          <w:rFonts w:ascii="Work Sans" w:hAnsi="Work Sans" w:cs="Arial"/>
          <w:b/>
          <w:sz w:val="20"/>
          <w:szCs w:val="20"/>
          <w:lang w:val="es-MX"/>
        </w:rPr>
      </w:pPr>
    </w:p>
    <w:p w14:paraId="5C7CC250" w14:textId="7C467C1A" w:rsidR="000A3ECD" w:rsidRDefault="000A3ECD" w:rsidP="009024F5">
      <w:pPr>
        <w:pStyle w:val="Prrafodelista"/>
        <w:suppressAutoHyphens/>
        <w:spacing w:after="0" w:line="240" w:lineRule="auto"/>
        <w:ind w:left="0"/>
        <w:jc w:val="center"/>
        <w:rPr>
          <w:rFonts w:ascii="Work Sans" w:hAnsi="Work Sans" w:cs="Arial"/>
          <w:sz w:val="20"/>
          <w:szCs w:val="20"/>
          <w:lang w:val="es-MX"/>
        </w:rPr>
      </w:pPr>
      <w:r w:rsidRPr="009024F5">
        <w:rPr>
          <w:rFonts w:ascii="Work Sans" w:hAnsi="Work Sans" w:cs="Arial"/>
          <w:sz w:val="20"/>
          <w:szCs w:val="20"/>
          <w:lang w:val="es-MX"/>
        </w:rPr>
        <w:t>Cifras en millones de pesos</w:t>
      </w:r>
    </w:p>
    <w:p w14:paraId="3713EFB3" w14:textId="77777777" w:rsidR="009024F5" w:rsidRPr="009024F5" w:rsidRDefault="009024F5" w:rsidP="009024F5">
      <w:pPr>
        <w:pStyle w:val="Prrafodelista"/>
        <w:suppressAutoHyphens/>
        <w:spacing w:after="0" w:line="240" w:lineRule="auto"/>
        <w:ind w:left="0"/>
        <w:jc w:val="center"/>
        <w:rPr>
          <w:rFonts w:ascii="Work Sans" w:hAnsi="Work Sans" w:cs="Arial"/>
          <w:b/>
          <w:sz w:val="20"/>
          <w:szCs w:val="20"/>
          <w:lang w:val="es-MX"/>
        </w:rPr>
      </w:pPr>
    </w:p>
    <w:tbl>
      <w:tblPr>
        <w:tblW w:w="937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1"/>
        <w:gridCol w:w="1560"/>
        <w:gridCol w:w="1701"/>
        <w:gridCol w:w="1701"/>
        <w:gridCol w:w="1559"/>
        <w:gridCol w:w="1165"/>
      </w:tblGrid>
      <w:tr w:rsidR="00802606" w:rsidRPr="00802606" w14:paraId="4269D8D7" w14:textId="77777777" w:rsidTr="00802606">
        <w:trPr>
          <w:trHeight w:val="581"/>
          <w:jc w:val="center"/>
        </w:trPr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9376F66" w14:textId="239AF4ED" w:rsidR="000A3ECD" w:rsidRPr="00802606" w:rsidRDefault="009024F5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  <w:t>CONCEPTO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EB96AF5" w14:textId="0C8CD1D5" w:rsidR="000A3ECD" w:rsidRPr="00802606" w:rsidRDefault="009024F5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  <w:t>PRESUPUESTO VIGENTE 2022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A48F6BF" w14:textId="5CA54058" w:rsidR="000A3ECD" w:rsidRPr="00802606" w:rsidRDefault="009024F5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  <w:t>PRESUPUESTO COMPROMETIDO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C2ECAA3" w14:textId="53D02400" w:rsidR="000A3ECD" w:rsidRPr="00802606" w:rsidRDefault="009024F5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  <w:t>PRESUPUESTO OBLIGADO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A20B378" w14:textId="2F66BC3D" w:rsidR="000A3ECD" w:rsidRPr="00802606" w:rsidRDefault="009024F5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  <w:t>PRESUPUESTO SIN EJECUTAR</w:t>
            </w:r>
          </w:p>
        </w:tc>
        <w:tc>
          <w:tcPr>
            <w:tcW w:w="116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DFBDD68" w14:textId="5386E252" w:rsidR="000A3ECD" w:rsidRPr="00802606" w:rsidRDefault="009024F5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  <w:t>PAGOS</w:t>
            </w:r>
          </w:p>
        </w:tc>
      </w:tr>
      <w:tr w:rsidR="000A3ECD" w:rsidRPr="00802606" w14:paraId="427E988A" w14:textId="77777777" w:rsidTr="00802606">
        <w:trPr>
          <w:trHeight w:val="290"/>
          <w:jc w:val="center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1B085E5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  <w:t>Funcionamiento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C0DA192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  <w:t>149.882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1FC2FC9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  <w:t>139.579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2C21260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  <w:t>137.747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47DD57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  <w:t>10.303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034519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  <w:t>137.635</w:t>
            </w:r>
          </w:p>
        </w:tc>
      </w:tr>
      <w:tr w:rsidR="000A3ECD" w:rsidRPr="00802606" w14:paraId="5F00380A" w14:textId="77777777" w:rsidTr="00802606">
        <w:trPr>
          <w:trHeight w:val="290"/>
          <w:jc w:val="center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EB26A" w14:textId="33550826" w:rsidR="000A3ECD" w:rsidRPr="00802606" w:rsidRDefault="009024F5" w:rsidP="009024F5">
            <w:pPr>
              <w:spacing w:after="0" w:line="240" w:lineRule="auto"/>
              <w:jc w:val="both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Gastos de personal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F3C8A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32.325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23E2B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26.889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7CEC4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26.876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40933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5.436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81B4C1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26.849</w:t>
            </w:r>
          </w:p>
        </w:tc>
      </w:tr>
      <w:tr w:rsidR="000A3ECD" w:rsidRPr="00802606" w14:paraId="5F68E7F7" w14:textId="77777777" w:rsidTr="00802606">
        <w:trPr>
          <w:trHeight w:val="290"/>
          <w:jc w:val="center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2AF00" w14:textId="36BD9753" w:rsidR="000A3ECD" w:rsidRPr="00802606" w:rsidRDefault="009024F5" w:rsidP="009024F5">
            <w:pPr>
              <w:spacing w:after="0" w:line="240" w:lineRule="auto"/>
              <w:jc w:val="both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Adquisición de bienes y servicios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064E6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4.781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B937C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4.384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5E446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3.260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31E4F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397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EE7E1D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3.175</w:t>
            </w:r>
          </w:p>
        </w:tc>
      </w:tr>
      <w:tr w:rsidR="000A3ECD" w:rsidRPr="00802606" w14:paraId="6BC93F1E" w14:textId="77777777" w:rsidTr="00802606">
        <w:trPr>
          <w:trHeight w:val="290"/>
          <w:jc w:val="center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7C8DE" w14:textId="7C9D0152" w:rsidR="000A3ECD" w:rsidRPr="00802606" w:rsidRDefault="009024F5" w:rsidP="009024F5">
            <w:pPr>
              <w:spacing w:after="0" w:line="240" w:lineRule="auto"/>
              <w:jc w:val="both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Transferencias corrientes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1DA32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101.246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C7912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96.791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D7743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96.096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5295F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4.455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00E7CC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96.096</w:t>
            </w:r>
          </w:p>
        </w:tc>
      </w:tr>
      <w:tr w:rsidR="000A3ECD" w:rsidRPr="00802606" w14:paraId="7A507ECA" w14:textId="77777777" w:rsidTr="00802606">
        <w:trPr>
          <w:trHeight w:val="290"/>
          <w:jc w:val="center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76314" w14:textId="352125AD" w:rsidR="000A3ECD" w:rsidRPr="00802606" w:rsidRDefault="009024F5" w:rsidP="009024F5">
            <w:pPr>
              <w:spacing w:after="0" w:line="240" w:lineRule="auto"/>
              <w:jc w:val="both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Gastos de comercialización y producción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0AF70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725DE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488BF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ECBB8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-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9A44DC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</w:p>
        </w:tc>
      </w:tr>
      <w:tr w:rsidR="000A3ECD" w:rsidRPr="00802606" w14:paraId="62A79BD4" w14:textId="77777777" w:rsidTr="00802606">
        <w:trPr>
          <w:trHeight w:val="290"/>
          <w:jc w:val="center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D0789" w14:textId="018868AD" w:rsidR="000A3ECD" w:rsidRPr="00802606" w:rsidRDefault="009024F5" w:rsidP="009024F5">
            <w:pPr>
              <w:spacing w:after="0" w:line="240" w:lineRule="auto"/>
              <w:jc w:val="both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 xml:space="preserve">Gastos por tributos, multas, sanciones e intereses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71239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11.530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2ED7F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11.515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E0457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11.515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96A53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10E17F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11.515</w:t>
            </w:r>
          </w:p>
        </w:tc>
      </w:tr>
      <w:tr w:rsidR="000A3ECD" w:rsidRPr="00802606" w14:paraId="570C0997" w14:textId="77777777" w:rsidTr="00802606">
        <w:trPr>
          <w:trHeight w:val="290"/>
          <w:jc w:val="center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311F3EC" w14:textId="005B7D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  <w:t>Servicio a la Deuda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2C791C1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  <w:t>10.404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D2F7DF7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  <w:t>3.560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2005973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  <w:t>3.560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2748031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  <w:t>6.844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66DBD2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  <w:t>3.560</w:t>
            </w:r>
          </w:p>
        </w:tc>
      </w:tr>
      <w:tr w:rsidR="000A3ECD" w:rsidRPr="00802606" w14:paraId="520856BE" w14:textId="77777777" w:rsidTr="00802606">
        <w:trPr>
          <w:trHeight w:val="290"/>
          <w:jc w:val="center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8BAE7" w14:textId="115737E8" w:rsidR="000A3ECD" w:rsidRPr="00802606" w:rsidRDefault="009024F5" w:rsidP="009024F5">
            <w:pPr>
              <w:spacing w:after="0" w:line="240" w:lineRule="auto"/>
              <w:jc w:val="both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 xml:space="preserve">Otras cuentas por pagar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6E99D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6.844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D00A1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DFD1A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39567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6.844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376AC7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</w:p>
        </w:tc>
      </w:tr>
      <w:tr w:rsidR="000A3ECD" w:rsidRPr="00802606" w14:paraId="0420308C" w14:textId="77777777" w:rsidTr="00802606">
        <w:trPr>
          <w:trHeight w:val="290"/>
          <w:jc w:val="center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49A01" w14:textId="142C8B5D" w:rsidR="000A3ECD" w:rsidRPr="00802606" w:rsidRDefault="009024F5" w:rsidP="009024F5">
            <w:pPr>
              <w:spacing w:after="0" w:line="240" w:lineRule="auto"/>
              <w:jc w:val="both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 xml:space="preserve">Aportes al fondo de contingencias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4F02E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3.560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EEA0E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3.560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5F0A7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3.560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E2125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-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1A4043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3.560</w:t>
            </w:r>
          </w:p>
        </w:tc>
      </w:tr>
      <w:tr w:rsidR="000A3ECD" w:rsidRPr="00802606" w14:paraId="71D7CB7D" w14:textId="77777777" w:rsidTr="00802606">
        <w:trPr>
          <w:trHeight w:val="290"/>
          <w:jc w:val="center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1F3150B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  <w:t>Inversión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57B2AF3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  <w:t>4.008.535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12B91F5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  <w:t>3.500.967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F8B2A24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  <w:t>3.174.506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8DC5B27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  <w:t>507.568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8A1CA38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  <w:t>3.173.901</w:t>
            </w:r>
          </w:p>
        </w:tc>
      </w:tr>
      <w:tr w:rsidR="000A3ECD" w:rsidRPr="00802606" w14:paraId="1D0F1A3F" w14:textId="77777777" w:rsidTr="00802606">
        <w:trPr>
          <w:trHeight w:val="302"/>
          <w:jc w:val="center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A67211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b/>
                <w:bCs/>
                <w:color w:val="000000"/>
                <w:sz w:val="18"/>
                <w:szCs w:val="18"/>
                <w:lang w:eastAsia="es-CO"/>
              </w:rPr>
              <w:t>Total Entidad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272F986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b/>
                <w:bCs/>
                <w:color w:val="000000"/>
                <w:sz w:val="18"/>
                <w:szCs w:val="18"/>
                <w:lang w:eastAsia="es-CO"/>
              </w:rPr>
              <w:t>4.168.821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FDB738E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b/>
                <w:bCs/>
                <w:color w:val="000000"/>
                <w:sz w:val="18"/>
                <w:szCs w:val="18"/>
                <w:lang w:eastAsia="es-CO"/>
              </w:rPr>
              <w:t>3.644.106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0ECDB50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b/>
                <w:bCs/>
                <w:color w:val="000000"/>
                <w:sz w:val="18"/>
                <w:szCs w:val="18"/>
                <w:lang w:eastAsia="es-CO"/>
              </w:rPr>
              <w:t>3.315.812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A665E6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b/>
                <w:bCs/>
                <w:color w:val="000000"/>
                <w:sz w:val="18"/>
                <w:szCs w:val="18"/>
                <w:lang w:eastAsia="es-CO"/>
              </w:rPr>
              <w:t>524.715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A02097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b/>
                <w:bCs/>
                <w:color w:val="000000"/>
                <w:sz w:val="18"/>
                <w:szCs w:val="18"/>
                <w:lang w:eastAsia="es-CO"/>
              </w:rPr>
              <w:t>3.315.096</w:t>
            </w:r>
          </w:p>
        </w:tc>
      </w:tr>
    </w:tbl>
    <w:p w14:paraId="011E494F" w14:textId="4D03F386" w:rsidR="00F64E17" w:rsidRPr="009024F5" w:rsidRDefault="000A3ECD" w:rsidP="009024F5">
      <w:pPr>
        <w:suppressAutoHyphens/>
        <w:spacing w:after="0" w:line="240" w:lineRule="auto"/>
        <w:contextualSpacing/>
        <w:jc w:val="both"/>
        <w:rPr>
          <w:rFonts w:ascii="Work Sans" w:hAnsi="Work Sans" w:cs="Arial"/>
          <w:b/>
          <w:sz w:val="20"/>
          <w:szCs w:val="20"/>
          <w:lang w:val="es-MX"/>
        </w:rPr>
      </w:pPr>
      <w:r w:rsidRPr="009024F5">
        <w:rPr>
          <w:rFonts w:ascii="Work Sans" w:hAnsi="Work Sans" w:cs="Arial"/>
          <w:b/>
          <w:sz w:val="20"/>
          <w:szCs w:val="20"/>
          <w:lang w:val="es-MX"/>
        </w:rPr>
        <w:t xml:space="preserve"> </w:t>
      </w:r>
    </w:p>
    <w:p w14:paraId="512D090F" w14:textId="10C146AB" w:rsidR="009024F5" w:rsidRDefault="000A3ECD" w:rsidP="009024F5">
      <w:pPr>
        <w:suppressAutoHyphens/>
        <w:spacing w:after="0" w:line="240" w:lineRule="auto"/>
        <w:contextualSpacing/>
        <w:jc w:val="center"/>
        <w:rPr>
          <w:rFonts w:ascii="Work Sans" w:hAnsi="Work Sans" w:cs="Arial"/>
          <w:b/>
          <w:sz w:val="20"/>
          <w:szCs w:val="20"/>
          <w:lang w:val="es-MX"/>
        </w:rPr>
      </w:pPr>
      <w:r w:rsidRPr="009024F5">
        <w:rPr>
          <w:rFonts w:ascii="Work Sans" w:hAnsi="Work Sans" w:cs="Arial"/>
          <w:b/>
          <w:sz w:val="20"/>
          <w:szCs w:val="20"/>
          <w:lang w:val="es-MX"/>
        </w:rPr>
        <w:t>INVERSIÓN</w:t>
      </w:r>
    </w:p>
    <w:p w14:paraId="61C0C138" w14:textId="77777777" w:rsidR="00802606" w:rsidRDefault="00802606" w:rsidP="009024F5">
      <w:pPr>
        <w:suppressAutoHyphens/>
        <w:spacing w:after="0" w:line="240" w:lineRule="auto"/>
        <w:contextualSpacing/>
        <w:jc w:val="center"/>
        <w:rPr>
          <w:rFonts w:ascii="Work Sans" w:hAnsi="Work Sans" w:cs="Arial"/>
          <w:b/>
          <w:sz w:val="20"/>
          <w:szCs w:val="20"/>
          <w:lang w:val="es-MX"/>
        </w:rPr>
      </w:pPr>
    </w:p>
    <w:p w14:paraId="793FEFDB" w14:textId="2BB9D923" w:rsidR="000A3ECD" w:rsidRDefault="000A3ECD" w:rsidP="009024F5">
      <w:pPr>
        <w:suppressAutoHyphens/>
        <w:spacing w:after="0" w:line="240" w:lineRule="auto"/>
        <w:contextualSpacing/>
        <w:jc w:val="center"/>
        <w:rPr>
          <w:rFonts w:ascii="Work Sans" w:hAnsi="Work Sans" w:cs="Arial"/>
          <w:sz w:val="20"/>
          <w:szCs w:val="20"/>
          <w:lang w:val="es-MX"/>
        </w:rPr>
      </w:pPr>
      <w:r w:rsidRPr="009024F5">
        <w:rPr>
          <w:rFonts w:ascii="Work Sans" w:hAnsi="Work Sans" w:cs="Arial"/>
          <w:sz w:val="20"/>
          <w:szCs w:val="20"/>
          <w:lang w:val="es-MX"/>
        </w:rPr>
        <w:lastRenderedPageBreak/>
        <w:t>Cifras en millones de pesos</w:t>
      </w:r>
    </w:p>
    <w:p w14:paraId="13CBEB29" w14:textId="77777777" w:rsidR="009024F5" w:rsidRPr="009024F5" w:rsidRDefault="009024F5" w:rsidP="009024F5">
      <w:pPr>
        <w:suppressAutoHyphens/>
        <w:spacing w:after="0" w:line="240" w:lineRule="auto"/>
        <w:contextualSpacing/>
        <w:jc w:val="center"/>
        <w:rPr>
          <w:rFonts w:ascii="Work Sans" w:hAnsi="Work Sans" w:cs="Arial"/>
          <w:b/>
          <w:sz w:val="20"/>
          <w:szCs w:val="20"/>
          <w:lang w:val="es-MX"/>
        </w:rPr>
      </w:pPr>
    </w:p>
    <w:tbl>
      <w:tblPr>
        <w:tblW w:w="5457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562"/>
        <w:gridCol w:w="1702"/>
        <w:gridCol w:w="1542"/>
        <w:gridCol w:w="1576"/>
        <w:gridCol w:w="990"/>
      </w:tblGrid>
      <w:tr w:rsidR="000A3ECD" w:rsidRPr="009024F5" w14:paraId="1B066967" w14:textId="77777777" w:rsidTr="00802606">
        <w:trPr>
          <w:trHeight w:val="355"/>
          <w:tblHeader/>
          <w:jc w:val="center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4E1ABCE" w14:textId="4EADB930" w:rsidR="000A3ECD" w:rsidRPr="00802606" w:rsidRDefault="009024F5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  <w:t>CONCEPTO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0088D26F" w14:textId="7B8683BE" w:rsidR="000A3ECD" w:rsidRPr="00802606" w:rsidRDefault="009024F5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  <w:t>PRESUPUESTO VIGENTE 2022</w:t>
            </w:r>
          </w:p>
        </w:tc>
        <w:tc>
          <w:tcPr>
            <w:tcW w:w="8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1BFDA293" w14:textId="2B02C0B7" w:rsidR="000A3ECD" w:rsidRPr="00802606" w:rsidRDefault="009024F5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  <w:t>PRESUPUESTO COMPROMETIDO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C52A85C" w14:textId="7B0B02E1" w:rsidR="000A3ECD" w:rsidRPr="00802606" w:rsidRDefault="009024F5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  <w:t>PRESUPUESTO OBLIGADO</w:t>
            </w:r>
          </w:p>
        </w:tc>
        <w:tc>
          <w:tcPr>
            <w:tcW w:w="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A11B74A" w14:textId="22A05140" w:rsidR="000A3ECD" w:rsidRPr="00802606" w:rsidRDefault="009024F5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  <w:t>PRESUPUESTO SIN EJECUTAR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2484EDE" w14:textId="468DBBC5" w:rsidR="000A3ECD" w:rsidRPr="00802606" w:rsidRDefault="009024F5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  <w:t>PAGOS</w:t>
            </w:r>
          </w:p>
        </w:tc>
      </w:tr>
      <w:tr w:rsidR="000A3ECD" w:rsidRPr="009024F5" w14:paraId="16AC0D2B" w14:textId="77777777" w:rsidTr="00802606">
        <w:trPr>
          <w:trHeight w:val="889"/>
          <w:jc w:val="center"/>
        </w:trPr>
        <w:tc>
          <w:tcPr>
            <w:tcW w:w="1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41433" w14:textId="34469491" w:rsidR="000A3ECD" w:rsidRPr="00802606" w:rsidRDefault="009024F5" w:rsidP="009024F5">
            <w:pPr>
              <w:spacing w:after="0" w:line="240" w:lineRule="auto"/>
              <w:jc w:val="both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Fortalecimiento de la divulgación del impacto positivo de las políticas y la gestión de desarrollo del país del sector minero energético ante la población y los públicos de interés nacional.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7CC08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3.183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B3122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2.929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8EA93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2.052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BE1BF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254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A8D2CD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1.843</w:t>
            </w:r>
          </w:p>
        </w:tc>
      </w:tr>
      <w:tr w:rsidR="000A3ECD" w:rsidRPr="009024F5" w14:paraId="3A74F360" w14:textId="77777777" w:rsidTr="00802606">
        <w:trPr>
          <w:trHeight w:val="463"/>
          <w:jc w:val="center"/>
        </w:trPr>
        <w:tc>
          <w:tcPr>
            <w:tcW w:w="1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42845" w14:textId="6141B9AF" w:rsidR="000A3ECD" w:rsidRPr="00802606" w:rsidRDefault="009024F5" w:rsidP="009024F5">
            <w:pPr>
              <w:spacing w:after="0" w:line="240" w:lineRule="auto"/>
              <w:jc w:val="both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Implementación del litigio de alto impacto en el Ministerio de Minas y Energía – nacional.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9B742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1.740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830CC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1.526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4E970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1.182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C33AB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214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7CC3EB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1.182</w:t>
            </w:r>
          </w:p>
        </w:tc>
      </w:tr>
      <w:tr w:rsidR="000A3ECD" w:rsidRPr="009024F5" w14:paraId="2E201A15" w14:textId="77777777" w:rsidTr="00802606">
        <w:trPr>
          <w:trHeight w:val="533"/>
          <w:jc w:val="center"/>
        </w:trPr>
        <w:tc>
          <w:tcPr>
            <w:tcW w:w="1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97E05" w14:textId="187662E9" w:rsidR="000A3ECD" w:rsidRPr="00802606" w:rsidRDefault="009024F5" w:rsidP="009024F5">
            <w:pPr>
              <w:spacing w:after="0" w:line="240" w:lineRule="auto"/>
              <w:jc w:val="both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Mejoramiento del modelo integrado de planeación y gestión en el Ministerio de Minas y Energía – Bogotá.</w:t>
            </w:r>
          </w:p>
          <w:p w14:paraId="08545EFC" w14:textId="77777777" w:rsidR="000A3ECD" w:rsidRPr="00802606" w:rsidRDefault="000A3ECD" w:rsidP="009024F5">
            <w:pPr>
              <w:spacing w:after="0" w:line="240" w:lineRule="auto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CA2DE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1.196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0F6C3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1.189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7880F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922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B6C9C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C8827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922</w:t>
            </w:r>
          </w:p>
        </w:tc>
      </w:tr>
      <w:tr w:rsidR="000A3ECD" w:rsidRPr="009024F5" w14:paraId="46E134AA" w14:textId="77777777" w:rsidTr="00802606">
        <w:trPr>
          <w:trHeight w:val="711"/>
          <w:jc w:val="center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0DC56" w14:textId="293462F0" w:rsidR="000A3ECD" w:rsidRPr="00802606" w:rsidRDefault="009024F5" w:rsidP="009024F5">
            <w:pPr>
              <w:spacing w:after="0" w:line="240" w:lineRule="auto"/>
              <w:jc w:val="both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Fortalecimiento de la sinergia institucional del sector minero energético en los escenarios estratégicos internacionales desde el nivel nacional.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19DD7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544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12FB4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526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FC3C4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416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5F298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18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E0420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416</w:t>
            </w:r>
          </w:p>
        </w:tc>
      </w:tr>
      <w:tr w:rsidR="000A3ECD" w:rsidRPr="009024F5" w14:paraId="27517FD4" w14:textId="77777777" w:rsidTr="00802606">
        <w:trPr>
          <w:trHeight w:val="533"/>
          <w:jc w:val="center"/>
        </w:trPr>
        <w:tc>
          <w:tcPr>
            <w:tcW w:w="1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54C5C" w14:textId="24CDF586" w:rsidR="000A3ECD" w:rsidRPr="00802606" w:rsidRDefault="009024F5" w:rsidP="009024F5">
            <w:pPr>
              <w:spacing w:after="0" w:line="240" w:lineRule="auto"/>
              <w:jc w:val="both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Fortalecimiento de la política pública para promover la transformación energética en agentes y usuarios del territorio nacional.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F4050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1.866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2FD34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1.779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879F4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1.411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B32C0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87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E827F4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1.411</w:t>
            </w:r>
          </w:p>
        </w:tc>
      </w:tr>
      <w:tr w:rsidR="000A3ECD" w:rsidRPr="009024F5" w14:paraId="1AF7A639" w14:textId="77777777" w:rsidTr="00802606">
        <w:trPr>
          <w:trHeight w:val="533"/>
          <w:jc w:val="center"/>
        </w:trPr>
        <w:tc>
          <w:tcPr>
            <w:tcW w:w="1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62F0B" w14:textId="212C5468" w:rsidR="000A3ECD" w:rsidRPr="00802606" w:rsidRDefault="009024F5" w:rsidP="009024F5">
            <w:pPr>
              <w:spacing w:after="0" w:line="240" w:lineRule="auto"/>
              <w:jc w:val="both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Fortalecimiento de la autoridad reguladora para el uso seguro de los materiales nucleares y radiactivos en el territorio   nacional.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7B468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424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0B37B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423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223EA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206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8A49F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13A040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206</w:t>
            </w:r>
          </w:p>
        </w:tc>
      </w:tr>
      <w:tr w:rsidR="000A3ECD" w:rsidRPr="009024F5" w14:paraId="4B5F4553" w14:textId="77777777" w:rsidTr="00802606">
        <w:trPr>
          <w:trHeight w:val="889"/>
          <w:jc w:val="center"/>
        </w:trPr>
        <w:tc>
          <w:tcPr>
            <w:tcW w:w="1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D1819" w14:textId="434BF33C" w:rsidR="000A3ECD" w:rsidRPr="00802606" w:rsidRDefault="009024F5" w:rsidP="009024F5">
            <w:pPr>
              <w:spacing w:after="0" w:line="240" w:lineRule="auto"/>
              <w:jc w:val="both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Fortalecimiento en la gestión de conocimiento y uso compartido de información en temáticas sociales y ambientales para el sector minero energético y actores interesados en el ámbito nacional (conexiones).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2623C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1.000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F41AE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222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79EA7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198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E62D5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778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257DFE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198</w:t>
            </w:r>
          </w:p>
        </w:tc>
      </w:tr>
      <w:tr w:rsidR="000A3ECD" w:rsidRPr="009024F5" w14:paraId="33935D4C" w14:textId="77777777" w:rsidTr="00802606">
        <w:trPr>
          <w:trHeight w:val="711"/>
          <w:jc w:val="center"/>
        </w:trPr>
        <w:tc>
          <w:tcPr>
            <w:tcW w:w="1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5DDDC" w14:textId="5B09F424" w:rsidR="000A3ECD" w:rsidRPr="00802606" w:rsidRDefault="009024F5" w:rsidP="009024F5">
            <w:pPr>
              <w:spacing w:after="0" w:line="240" w:lineRule="auto"/>
              <w:jc w:val="both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Fortalecimiento para la reducción de emisiones de gases de efecto invernadero (GEI) que afectan las actividades del sector minero energético en el ámbito nacional (cambio climático).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D087A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4.265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B1C10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863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099A8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541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3A802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3.402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C59289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541</w:t>
            </w:r>
          </w:p>
        </w:tc>
      </w:tr>
      <w:tr w:rsidR="000A3ECD" w:rsidRPr="009024F5" w14:paraId="02301A5C" w14:textId="77777777" w:rsidTr="00802606">
        <w:trPr>
          <w:trHeight w:val="889"/>
          <w:jc w:val="center"/>
        </w:trPr>
        <w:tc>
          <w:tcPr>
            <w:tcW w:w="1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1353E" w14:textId="4164409B" w:rsidR="000A3ECD" w:rsidRPr="00802606" w:rsidRDefault="009024F5" w:rsidP="009024F5">
            <w:pPr>
              <w:spacing w:after="0" w:line="240" w:lineRule="auto"/>
              <w:jc w:val="both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Fortalecimiento de la gestión sectorial hacia la integración de las actividades del sector minero energético en la planificación ambiental y territorial para el sector minero energético en el territorio nacional (ambiental).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45EEC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2.501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A3D93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1.802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9394D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916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7ED0D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699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9B0C35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916</w:t>
            </w:r>
          </w:p>
        </w:tc>
      </w:tr>
      <w:tr w:rsidR="000A3ECD" w:rsidRPr="009024F5" w14:paraId="0DFC7016" w14:textId="77777777" w:rsidTr="00802606">
        <w:trPr>
          <w:trHeight w:val="711"/>
          <w:jc w:val="center"/>
        </w:trPr>
        <w:tc>
          <w:tcPr>
            <w:tcW w:w="1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5A550" w14:textId="5EE42D61" w:rsidR="000A3ECD" w:rsidRPr="00802606" w:rsidRDefault="009024F5" w:rsidP="009024F5">
            <w:pPr>
              <w:spacing w:after="0" w:line="240" w:lineRule="auto"/>
              <w:jc w:val="both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lastRenderedPageBreak/>
              <w:t>Fortalecimiento del relacionamiento territorial para la creación de valor compartido en el sector minero energético nacional.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39398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5.800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1F8E1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4.951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59E58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4.074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837D6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849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144087" w14:textId="72ADD21A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4.074</w:t>
            </w:r>
          </w:p>
        </w:tc>
      </w:tr>
      <w:tr w:rsidR="000A3ECD" w:rsidRPr="009024F5" w14:paraId="07A97E59" w14:textId="77777777" w:rsidTr="00802606">
        <w:trPr>
          <w:trHeight w:val="533"/>
          <w:jc w:val="center"/>
        </w:trPr>
        <w:tc>
          <w:tcPr>
            <w:tcW w:w="1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9F25F" w14:textId="7AE4844C" w:rsidR="000A3ECD" w:rsidRPr="00802606" w:rsidRDefault="009024F5" w:rsidP="009024F5">
            <w:pPr>
              <w:spacing w:after="0" w:line="240" w:lineRule="auto"/>
              <w:jc w:val="both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Fortalecimiento de la transparencia en la cadena de valor del sector extractivo en Colombia (iniciativa EITI) nacional.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40166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1.720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68C8F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1.546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B1001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873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1F032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174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B6FB6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873</w:t>
            </w:r>
          </w:p>
        </w:tc>
      </w:tr>
      <w:tr w:rsidR="000A3ECD" w:rsidRPr="009024F5" w14:paraId="6B936889" w14:textId="77777777" w:rsidTr="00802606">
        <w:trPr>
          <w:trHeight w:val="355"/>
          <w:jc w:val="center"/>
        </w:trPr>
        <w:tc>
          <w:tcPr>
            <w:tcW w:w="1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B6F7C" w14:textId="1413700D" w:rsidR="000A3ECD" w:rsidRPr="00802606" w:rsidRDefault="009024F5" w:rsidP="009024F5">
            <w:pPr>
              <w:spacing w:after="0" w:line="240" w:lineRule="auto"/>
              <w:jc w:val="both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Distribución de recursos a usuarios de gas combustible por red de estratos 1 y 2 nacional.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0EB18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1.047.750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7EC15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946.120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8BEEA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946.120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0F651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101.630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4956CA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946.120</w:t>
            </w:r>
          </w:p>
        </w:tc>
      </w:tr>
      <w:tr w:rsidR="000A3ECD" w:rsidRPr="009024F5" w14:paraId="0D0CCD78" w14:textId="77777777" w:rsidTr="00802606">
        <w:trPr>
          <w:trHeight w:val="533"/>
          <w:jc w:val="center"/>
        </w:trPr>
        <w:tc>
          <w:tcPr>
            <w:tcW w:w="1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108EF" w14:textId="0A8D5F08" w:rsidR="000A3ECD" w:rsidRPr="00802606" w:rsidRDefault="009024F5" w:rsidP="009024F5">
            <w:pPr>
              <w:spacing w:after="0" w:line="240" w:lineRule="auto"/>
              <w:jc w:val="both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Apoyo a la financiación de proyectos dirigidos al desarrollo de infraestructura, y conexiones para el uso del gas natural a nivel nacional.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097FB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24.825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36C40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1.368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C9496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608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D2750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23.457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474AC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607</w:t>
            </w:r>
          </w:p>
        </w:tc>
      </w:tr>
      <w:tr w:rsidR="000A3ECD" w:rsidRPr="009024F5" w14:paraId="69FB04A0" w14:textId="77777777" w:rsidTr="00802606">
        <w:trPr>
          <w:trHeight w:val="533"/>
          <w:jc w:val="center"/>
        </w:trPr>
        <w:tc>
          <w:tcPr>
            <w:tcW w:w="1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76FB4" w14:textId="2A687968" w:rsidR="000A3ECD" w:rsidRPr="00802606" w:rsidRDefault="009024F5" w:rsidP="009024F5">
            <w:pPr>
              <w:spacing w:after="0" w:line="240" w:lineRule="auto"/>
              <w:jc w:val="both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Distribución de recursos al consumo en cilindros y proyectos de infraestructura de GLP nacional.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521F5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87.000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49E7B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45.918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08C6E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41.428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83733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41.082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7BEB34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41.426</w:t>
            </w:r>
          </w:p>
        </w:tc>
      </w:tr>
      <w:tr w:rsidR="000A3ECD" w:rsidRPr="009024F5" w14:paraId="08D89A77" w14:textId="77777777" w:rsidTr="00802606">
        <w:trPr>
          <w:trHeight w:val="711"/>
          <w:jc w:val="center"/>
        </w:trPr>
        <w:tc>
          <w:tcPr>
            <w:tcW w:w="1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D8062" w14:textId="2B13ECFF" w:rsidR="000A3ECD" w:rsidRPr="00802606" w:rsidRDefault="009024F5" w:rsidP="009024F5">
            <w:pPr>
              <w:spacing w:after="0" w:line="240" w:lineRule="auto"/>
              <w:jc w:val="both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Fortalecimiento del control a la comercialización de combustibles en los departamentos considerados como zonas de frontera.  Nacional.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328B1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7.226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CAFCB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4.913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0E002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3.474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E6E5D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2.313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74C5E4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3.474</w:t>
            </w:r>
          </w:p>
        </w:tc>
      </w:tr>
      <w:tr w:rsidR="000A3ECD" w:rsidRPr="009024F5" w14:paraId="4C5DCFC1" w14:textId="77777777" w:rsidTr="00802606">
        <w:trPr>
          <w:trHeight w:val="533"/>
          <w:jc w:val="center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A8A83" w14:textId="085374F3" w:rsidR="000A3ECD" w:rsidRPr="00802606" w:rsidRDefault="009024F5" w:rsidP="009024F5">
            <w:pPr>
              <w:spacing w:after="0" w:line="240" w:lineRule="auto"/>
              <w:jc w:val="both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Distribución de recursos para el transporte de combustibles líquidos derivados del petróleo para abastecer al departamento de Nariño.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0C823" w14:textId="39DA574A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77.337</w:t>
            </w:r>
          </w:p>
        </w:tc>
        <w:tc>
          <w:tcPr>
            <w:tcW w:w="8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ACCFD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48.857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703CA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48.542</w:t>
            </w:r>
          </w:p>
        </w:tc>
        <w:tc>
          <w:tcPr>
            <w:tcW w:w="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93C37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28.480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9BE2EF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48.542</w:t>
            </w:r>
          </w:p>
        </w:tc>
      </w:tr>
      <w:tr w:rsidR="000A3ECD" w:rsidRPr="009024F5" w14:paraId="2565D2FA" w14:textId="77777777" w:rsidTr="00802606">
        <w:trPr>
          <w:trHeight w:val="533"/>
          <w:jc w:val="center"/>
        </w:trPr>
        <w:tc>
          <w:tcPr>
            <w:tcW w:w="1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7EC4A" w14:textId="43B69FA4" w:rsidR="000A3ECD" w:rsidRPr="00802606" w:rsidRDefault="009024F5" w:rsidP="009024F5">
            <w:pPr>
              <w:spacing w:after="0" w:line="240" w:lineRule="auto"/>
              <w:jc w:val="both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Mejoramiento de la gestión de la información de la distribución de los combustibles líquidos, gas natural y GLP para uso vehicular.  Nacional.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0B02B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18.000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340EF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17.716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EC619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13.234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28C8B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284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C820C" w14:textId="50172421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13.234</w:t>
            </w:r>
          </w:p>
        </w:tc>
      </w:tr>
      <w:tr w:rsidR="000A3ECD" w:rsidRPr="009024F5" w14:paraId="5F2C5E81" w14:textId="77777777" w:rsidTr="00802606">
        <w:trPr>
          <w:trHeight w:val="533"/>
          <w:jc w:val="center"/>
        </w:trPr>
        <w:tc>
          <w:tcPr>
            <w:tcW w:w="1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7D06" w14:textId="563D63CB" w:rsidR="000A3ECD" w:rsidRPr="00802606" w:rsidRDefault="009024F5" w:rsidP="009024F5">
            <w:pPr>
              <w:spacing w:after="0" w:line="240" w:lineRule="auto"/>
              <w:jc w:val="both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Desarrollo de la gestión de la información en asuntos del subsector hidrocarburos.  Nacional.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83A37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5.300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E28D8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2.200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1D0A4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1.054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E0C2D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3.100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FD016C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1.032</w:t>
            </w:r>
          </w:p>
        </w:tc>
      </w:tr>
      <w:tr w:rsidR="000A3ECD" w:rsidRPr="009024F5" w14:paraId="6C0B54CA" w14:textId="77777777" w:rsidTr="00802606">
        <w:trPr>
          <w:trHeight w:val="355"/>
          <w:jc w:val="center"/>
        </w:trPr>
        <w:tc>
          <w:tcPr>
            <w:tcW w:w="1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265A3" w14:textId="49243719" w:rsidR="000A3ECD" w:rsidRPr="00802606" w:rsidRDefault="009024F5" w:rsidP="009024F5">
            <w:pPr>
              <w:spacing w:after="0" w:line="240" w:lineRule="auto"/>
              <w:jc w:val="both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Sustitución de lena por cilindros de GLP en hogares de bajos recursos nacional.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1F1D5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7.431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76D7F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334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050F1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202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E030B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7.097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6530BB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202</w:t>
            </w:r>
          </w:p>
        </w:tc>
      </w:tr>
      <w:tr w:rsidR="000A3ECD" w:rsidRPr="009024F5" w14:paraId="399ED4FF" w14:textId="77777777" w:rsidTr="00802606">
        <w:trPr>
          <w:trHeight w:val="889"/>
          <w:jc w:val="center"/>
        </w:trPr>
        <w:tc>
          <w:tcPr>
            <w:tcW w:w="1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0C7F1" w14:textId="17F1083C" w:rsidR="000A3ECD" w:rsidRPr="00802606" w:rsidRDefault="009024F5" w:rsidP="009024F5">
            <w:pPr>
              <w:spacing w:after="0" w:line="240" w:lineRule="auto"/>
              <w:jc w:val="both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Fortalecimiento a la gestión del monitoreo, seguimiento y control a los combustibles líquidos derivados del petróleo y otros productos de tipo residual de hidrocarburos nacional.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31416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7.910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657ED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1.099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7E0F5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499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E0A3F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6.811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32A98A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499</w:t>
            </w:r>
          </w:p>
        </w:tc>
      </w:tr>
      <w:tr w:rsidR="000A3ECD" w:rsidRPr="009024F5" w14:paraId="5BADF5EB" w14:textId="77777777" w:rsidTr="00802606">
        <w:trPr>
          <w:trHeight w:val="355"/>
          <w:jc w:val="center"/>
        </w:trPr>
        <w:tc>
          <w:tcPr>
            <w:tcW w:w="1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E0784" w14:textId="76F6F104" w:rsidR="000A3ECD" w:rsidRPr="00802606" w:rsidRDefault="009024F5" w:rsidP="009024F5">
            <w:pPr>
              <w:spacing w:after="0" w:line="240" w:lineRule="auto"/>
              <w:jc w:val="both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Distribución de recursos para pagos por menores tarifas sector eléctrico nacional.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3145E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2.037.145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12393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1.851.002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EBEE7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1.826.854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E918A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186.142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48B755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1.826.854</w:t>
            </w:r>
          </w:p>
        </w:tc>
      </w:tr>
      <w:tr w:rsidR="000A3ECD" w:rsidRPr="009024F5" w14:paraId="6FB03A06" w14:textId="77777777" w:rsidTr="00802606">
        <w:trPr>
          <w:trHeight w:val="533"/>
          <w:jc w:val="center"/>
        </w:trPr>
        <w:tc>
          <w:tcPr>
            <w:tcW w:w="1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1D8E8" w14:textId="017596DE" w:rsidR="000A3ECD" w:rsidRPr="00802606" w:rsidRDefault="009024F5" w:rsidP="009024F5">
            <w:pPr>
              <w:spacing w:after="0" w:line="240" w:lineRule="auto"/>
              <w:jc w:val="both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lastRenderedPageBreak/>
              <w:t>Distribución de subsidios para usuarios ubicados en zonas especiales del sistema interconectado nacional.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B18F9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152.114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9B005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146.553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2860F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146.542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DC9EA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5.561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00E724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146.542</w:t>
            </w:r>
          </w:p>
        </w:tc>
      </w:tr>
      <w:tr w:rsidR="000A3ECD" w:rsidRPr="009024F5" w14:paraId="18DA3B29" w14:textId="77777777" w:rsidTr="00802606">
        <w:trPr>
          <w:trHeight w:val="711"/>
          <w:jc w:val="center"/>
        </w:trPr>
        <w:tc>
          <w:tcPr>
            <w:tcW w:w="1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FE3F5" w14:textId="0B664E73" w:rsidR="000A3ECD" w:rsidRPr="00802606" w:rsidRDefault="009024F5" w:rsidP="009024F5">
            <w:pPr>
              <w:spacing w:after="0" w:line="240" w:lineRule="auto"/>
              <w:jc w:val="both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Mejoramiento de la calidad y confiabilidad del servicio de energía eléctrica en los barrios subnormales ubicados en los municipios del sistema interconectado a nivel nacional.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8E0A7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130.260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F5EC7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104.105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3D8BA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13.822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E28A5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26.155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97640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13.804</w:t>
            </w:r>
          </w:p>
        </w:tc>
      </w:tr>
      <w:tr w:rsidR="000A3ECD" w:rsidRPr="009024F5" w14:paraId="7E7715BE" w14:textId="77777777" w:rsidTr="00802606">
        <w:trPr>
          <w:trHeight w:val="533"/>
          <w:jc w:val="center"/>
        </w:trPr>
        <w:tc>
          <w:tcPr>
            <w:tcW w:w="1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C596F" w14:textId="0A02FE0F" w:rsidR="000A3ECD" w:rsidRPr="00802606" w:rsidRDefault="009024F5" w:rsidP="009024F5">
            <w:pPr>
              <w:spacing w:after="0" w:line="240" w:lineRule="auto"/>
              <w:jc w:val="both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Suministro del servicio de energía eléctrica en las zonas no interconectadas – ZNI a nivel nacional.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F9A04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120.250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4691D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119.637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15952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21.690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C8C30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613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CAC869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21.589</w:t>
            </w:r>
          </w:p>
        </w:tc>
      </w:tr>
      <w:tr w:rsidR="000A3ECD" w:rsidRPr="009024F5" w14:paraId="11EFFE9F" w14:textId="77777777" w:rsidTr="00802606">
        <w:trPr>
          <w:trHeight w:val="355"/>
          <w:jc w:val="center"/>
        </w:trPr>
        <w:tc>
          <w:tcPr>
            <w:tcW w:w="1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A23AB" w14:textId="1EB640B9" w:rsidR="000A3ECD" w:rsidRPr="00802606" w:rsidRDefault="009024F5" w:rsidP="009024F5">
            <w:pPr>
              <w:spacing w:after="0" w:line="240" w:lineRule="auto"/>
              <w:jc w:val="both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Mejoramiento del servicio de energía eléctrica en las zonas rurales del territorio nacional.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73011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140.290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BA097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109.184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CA556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28.816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F9E0C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31.106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837C3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28.814</w:t>
            </w:r>
          </w:p>
        </w:tc>
      </w:tr>
      <w:tr w:rsidR="000A3ECD" w:rsidRPr="009024F5" w14:paraId="473D0502" w14:textId="77777777" w:rsidTr="00802606">
        <w:trPr>
          <w:trHeight w:val="889"/>
          <w:jc w:val="center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19C78" w14:textId="7BF3C5B2" w:rsidR="000A3ECD" w:rsidRPr="00802606" w:rsidRDefault="009024F5" w:rsidP="009024F5">
            <w:pPr>
              <w:spacing w:after="0" w:line="240" w:lineRule="auto"/>
              <w:jc w:val="both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Mejoramiento de la eficiencia y seguridad en los productos, sistemas e instalaciones que están bajo el alcance de los reglamentos técnicos del sector de energía eléctrica en el territorio nacional.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C773F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1.138</w:t>
            </w:r>
          </w:p>
        </w:tc>
        <w:tc>
          <w:tcPr>
            <w:tcW w:w="8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76297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1.097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DDEE5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704</w:t>
            </w:r>
          </w:p>
        </w:tc>
        <w:tc>
          <w:tcPr>
            <w:tcW w:w="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CDF32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41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985D38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520</w:t>
            </w:r>
          </w:p>
        </w:tc>
      </w:tr>
      <w:tr w:rsidR="000A3ECD" w:rsidRPr="009024F5" w14:paraId="4FD9E50A" w14:textId="77777777" w:rsidTr="00802606">
        <w:trPr>
          <w:trHeight w:val="533"/>
          <w:jc w:val="center"/>
        </w:trPr>
        <w:tc>
          <w:tcPr>
            <w:tcW w:w="1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60B80" w14:textId="7EA4BDE3" w:rsidR="000A3ECD" w:rsidRPr="00802606" w:rsidRDefault="009024F5" w:rsidP="009024F5">
            <w:pPr>
              <w:spacing w:after="0" w:line="240" w:lineRule="auto"/>
              <w:jc w:val="both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Mejoramiento del cubrimiento de la demanda no atendida que perciben los usuarios del SIN y las ZNI nacional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3E4F3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589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301A4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536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2AF5D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417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E8B3B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53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9352BD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416</w:t>
            </w:r>
          </w:p>
        </w:tc>
      </w:tr>
      <w:tr w:rsidR="000A3ECD" w:rsidRPr="009024F5" w14:paraId="1AAE86E7" w14:textId="77777777" w:rsidTr="00802606">
        <w:trPr>
          <w:trHeight w:val="533"/>
          <w:jc w:val="center"/>
        </w:trPr>
        <w:tc>
          <w:tcPr>
            <w:tcW w:w="1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49C4D" w14:textId="1EC33A33" w:rsidR="000A3ECD" w:rsidRPr="00802606" w:rsidRDefault="009024F5" w:rsidP="009024F5">
            <w:pPr>
              <w:spacing w:after="0" w:line="240" w:lineRule="auto"/>
              <w:jc w:val="both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Mejoramiento en la disminución de las brechas de acceso a energía asequible y limpia a nivel nacional.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D36D9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684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E0CDB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120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0084D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97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B242E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564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EAD307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95</w:t>
            </w:r>
          </w:p>
        </w:tc>
      </w:tr>
      <w:tr w:rsidR="000A3ECD" w:rsidRPr="009024F5" w14:paraId="31C0B7C1" w14:textId="77777777" w:rsidTr="00802606">
        <w:trPr>
          <w:trHeight w:val="355"/>
          <w:jc w:val="center"/>
        </w:trPr>
        <w:tc>
          <w:tcPr>
            <w:tcW w:w="1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A1576" w14:textId="4B85EBD2" w:rsidR="000A3ECD" w:rsidRPr="00802606" w:rsidRDefault="0063102B" w:rsidP="009024F5">
            <w:pPr>
              <w:spacing w:after="0" w:line="240" w:lineRule="auto"/>
              <w:jc w:val="both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I</w:t>
            </w:r>
            <w:r w:rsidR="009024F5"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ncremento de la eficiencia en el consumo, uso y generación de la energía a nivel nacional</w:t>
            </w: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.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62147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39.552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774F9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39.552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F643F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39.433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5C564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3CE5D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39.433</w:t>
            </w:r>
          </w:p>
        </w:tc>
      </w:tr>
      <w:tr w:rsidR="000A3ECD" w:rsidRPr="009024F5" w14:paraId="4667E9BA" w14:textId="77777777" w:rsidTr="00802606">
        <w:trPr>
          <w:trHeight w:val="711"/>
          <w:jc w:val="center"/>
        </w:trPr>
        <w:tc>
          <w:tcPr>
            <w:tcW w:w="1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F122B" w14:textId="30743E78" w:rsidR="000A3ECD" w:rsidRPr="00802606" w:rsidRDefault="0063102B" w:rsidP="009024F5">
            <w:pPr>
              <w:spacing w:after="0" w:line="240" w:lineRule="auto"/>
              <w:jc w:val="both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F</w:t>
            </w:r>
            <w:r w:rsidR="009024F5"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 xml:space="preserve">ortalecimiento de la </w:t>
            </w: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gestión</w:t>
            </w:r>
            <w:r w:rsidR="009024F5"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 xml:space="preserve"> eficiente de la </w:t>
            </w: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energía</w:t>
            </w:r>
            <w:r w:rsidR="009024F5"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 xml:space="preserve"> y desarrollo de las fuentes no convencionales de </w:t>
            </w: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energía</w:t>
            </w:r>
            <w:r w:rsidR="009024F5"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 xml:space="preserve"> en el territorio nacional</w:t>
            </w: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.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8A4E7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22.212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B3557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18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A3B86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-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A5342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22.194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E90B6B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-</w:t>
            </w:r>
          </w:p>
        </w:tc>
      </w:tr>
      <w:tr w:rsidR="000A3ECD" w:rsidRPr="009024F5" w14:paraId="5904D424" w14:textId="77777777" w:rsidTr="00802606">
        <w:trPr>
          <w:trHeight w:val="533"/>
          <w:jc w:val="center"/>
        </w:trPr>
        <w:tc>
          <w:tcPr>
            <w:tcW w:w="1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06512" w14:textId="2D66FFBB" w:rsidR="000A3ECD" w:rsidRPr="00802606" w:rsidRDefault="0063102B" w:rsidP="009024F5">
            <w:pPr>
              <w:spacing w:after="0" w:line="240" w:lineRule="auto"/>
              <w:jc w:val="both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G</w:t>
            </w:r>
            <w:r w:rsidR="009024F5"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eneración de condiciones favorables para regularizar la actividad minera de pequeña escala nacional</w:t>
            </w: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.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259DA" w14:textId="7290126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4.769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DD2C4" w14:textId="1C6E9D62" w:rsidR="000A3ECD" w:rsidRPr="00802606" w:rsidRDefault="000A3ECD" w:rsidP="0063102B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3.933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B897D" w14:textId="59E1572B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1.682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6438C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836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0C116A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1.675</w:t>
            </w:r>
          </w:p>
        </w:tc>
      </w:tr>
      <w:tr w:rsidR="000A3ECD" w:rsidRPr="009024F5" w14:paraId="4D81807E" w14:textId="77777777" w:rsidTr="00802606">
        <w:trPr>
          <w:trHeight w:val="355"/>
          <w:jc w:val="center"/>
        </w:trPr>
        <w:tc>
          <w:tcPr>
            <w:tcW w:w="1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669B2" w14:textId="11302BE4" w:rsidR="000A3ECD" w:rsidRPr="00802606" w:rsidRDefault="0063102B" w:rsidP="009024F5">
            <w:pPr>
              <w:spacing w:after="0" w:line="240" w:lineRule="auto"/>
              <w:jc w:val="both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F</w:t>
            </w:r>
            <w:r w:rsidR="009024F5"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ortalecimiento de políticas orientadas a la transformación del sector minero nacional</w:t>
            </w: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.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1A8F5" w14:textId="7C6CA19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3.865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B89EF" w14:textId="4161D5FA" w:rsidR="000A3ECD" w:rsidRPr="00802606" w:rsidRDefault="000A3ECD" w:rsidP="0063102B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2.161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761E1" w14:textId="77F36EDB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1.591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2B639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1.704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ABF276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1.586</w:t>
            </w:r>
          </w:p>
        </w:tc>
      </w:tr>
      <w:tr w:rsidR="000A3ECD" w:rsidRPr="009024F5" w14:paraId="660586AF" w14:textId="77777777" w:rsidTr="00802606">
        <w:trPr>
          <w:trHeight w:val="355"/>
          <w:jc w:val="center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E59DF" w14:textId="04CD2CF4" w:rsidR="000A3ECD" w:rsidRPr="00802606" w:rsidRDefault="0063102B" w:rsidP="009024F5">
            <w:pPr>
              <w:spacing w:after="0" w:line="240" w:lineRule="auto"/>
              <w:jc w:val="both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F</w:t>
            </w:r>
            <w:r w:rsidR="009024F5"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 xml:space="preserve">ortalecimiento de la </w:t>
            </w: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política</w:t>
            </w:r>
            <w:r w:rsidR="009024F5"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 xml:space="preserve"> de la </w:t>
            </w: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minería</w:t>
            </w:r>
            <w:r w:rsidR="009024F5"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 xml:space="preserve"> de subsistencia en el territorio nacional</w:t>
            </w: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.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A8684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4.291</w:t>
            </w:r>
          </w:p>
        </w:tc>
        <w:tc>
          <w:tcPr>
            <w:tcW w:w="8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7733B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2.517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C9340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705</w:t>
            </w:r>
          </w:p>
        </w:tc>
        <w:tc>
          <w:tcPr>
            <w:tcW w:w="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9B88C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1.775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550DF6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704</w:t>
            </w:r>
          </w:p>
        </w:tc>
      </w:tr>
      <w:tr w:rsidR="000A3ECD" w:rsidRPr="009024F5" w14:paraId="13596281" w14:textId="77777777" w:rsidTr="00802606">
        <w:trPr>
          <w:trHeight w:val="355"/>
          <w:jc w:val="center"/>
        </w:trPr>
        <w:tc>
          <w:tcPr>
            <w:tcW w:w="1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2BE8E" w14:textId="609999F0" w:rsidR="000A3ECD" w:rsidRPr="00802606" w:rsidRDefault="0063102B" w:rsidP="0063102B">
            <w:pPr>
              <w:spacing w:after="0" w:line="240" w:lineRule="auto"/>
              <w:jc w:val="both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M</w:t>
            </w:r>
            <w:r w:rsidR="009024F5"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ejoramiento de la competitividad para el desarrollo del sector minero a nivel nacional</w:t>
            </w: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.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53B81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5.200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8AFAF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3.236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8B506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1.495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5891D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1.964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857EAB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1.495</w:t>
            </w:r>
          </w:p>
        </w:tc>
      </w:tr>
      <w:tr w:rsidR="000A3ECD" w:rsidRPr="009024F5" w14:paraId="5DC2BA75" w14:textId="77777777" w:rsidTr="00802606">
        <w:trPr>
          <w:trHeight w:val="533"/>
          <w:jc w:val="center"/>
        </w:trPr>
        <w:tc>
          <w:tcPr>
            <w:tcW w:w="1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7129F" w14:textId="2815F547" w:rsidR="000A3ECD" w:rsidRPr="00802606" w:rsidRDefault="0063102B" w:rsidP="009024F5">
            <w:pPr>
              <w:spacing w:after="0" w:line="240" w:lineRule="auto"/>
              <w:jc w:val="both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lastRenderedPageBreak/>
              <w:t>A</w:t>
            </w:r>
            <w:r w:rsidR="009024F5"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poyo a las acciones de control de la explotación ilícita de minerales en el territorio   nacional</w:t>
            </w: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.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218E2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5.500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155A4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3.198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F4F9E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3.066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E2E78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2.302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90B6D4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3.066</w:t>
            </w:r>
          </w:p>
        </w:tc>
      </w:tr>
      <w:tr w:rsidR="000A3ECD" w:rsidRPr="009024F5" w14:paraId="1F860466" w14:textId="77777777" w:rsidTr="00802606">
        <w:trPr>
          <w:trHeight w:val="355"/>
          <w:jc w:val="center"/>
        </w:trPr>
        <w:tc>
          <w:tcPr>
            <w:tcW w:w="1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04753" w14:textId="0BFA7D6E" w:rsidR="000A3ECD" w:rsidRPr="00802606" w:rsidRDefault="0063102B" w:rsidP="009024F5">
            <w:pPr>
              <w:spacing w:after="0" w:line="240" w:lineRule="auto"/>
              <w:jc w:val="both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F</w:t>
            </w:r>
            <w:r w:rsidR="009024F5"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ortalecimiento del sector minero energético a nivel nacional</w:t>
            </w: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.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CFD63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25.000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1AEAF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20.723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742BF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14.723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864B0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4.277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6298A0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14.723</w:t>
            </w:r>
          </w:p>
        </w:tc>
      </w:tr>
      <w:tr w:rsidR="000A3ECD" w:rsidRPr="009024F5" w14:paraId="3C5F8A86" w14:textId="77777777" w:rsidTr="00802606">
        <w:trPr>
          <w:trHeight w:val="711"/>
          <w:jc w:val="center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38176" w14:textId="0F0A681B" w:rsidR="000A3ECD" w:rsidRPr="00802606" w:rsidRDefault="0063102B" w:rsidP="009024F5">
            <w:pPr>
              <w:spacing w:after="0" w:line="240" w:lineRule="auto"/>
              <w:jc w:val="both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F</w:t>
            </w:r>
            <w:r w:rsidR="009024F5"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ortalecimiento de la participación, transparencia y colaboración de los ciudadanos y partes interesadas en la gestión del sector minero energético   nacional</w:t>
            </w: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.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A85DA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1.306</w:t>
            </w:r>
          </w:p>
        </w:tc>
        <w:tc>
          <w:tcPr>
            <w:tcW w:w="8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DCAF2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1.099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F7C15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856</w:t>
            </w:r>
          </w:p>
        </w:tc>
        <w:tc>
          <w:tcPr>
            <w:tcW w:w="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8071F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207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D22843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824</w:t>
            </w:r>
          </w:p>
        </w:tc>
      </w:tr>
      <w:tr w:rsidR="000A3ECD" w:rsidRPr="009024F5" w14:paraId="1225F3AE" w14:textId="77777777" w:rsidTr="00802606">
        <w:trPr>
          <w:trHeight w:val="533"/>
          <w:jc w:val="center"/>
        </w:trPr>
        <w:tc>
          <w:tcPr>
            <w:tcW w:w="1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21E02" w14:textId="78B1CABF" w:rsidR="000A3ECD" w:rsidRPr="00802606" w:rsidRDefault="0063102B" w:rsidP="009024F5">
            <w:pPr>
              <w:spacing w:after="0" w:line="240" w:lineRule="auto"/>
              <w:jc w:val="both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I</w:t>
            </w:r>
            <w:r w:rsidR="009024F5"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 xml:space="preserve">mplantación modelo </w:t>
            </w: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gestión</w:t>
            </w:r>
            <w:r w:rsidR="009024F5"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 xml:space="preserve"> de documentos </w:t>
            </w: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electrónicos</w:t>
            </w:r>
            <w:r w:rsidR="009024F5"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 xml:space="preserve"> de archivo en el ministerio de minas y </w:t>
            </w: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energía</w:t>
            </w:r>
            <w:r w:rsidR="009024F5"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 xml:space="preserve"> </w:t>
            </w: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Bogotá.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5F8B6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988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32A9F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836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6DAB2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329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0BCB4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152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A297A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329</w:t>
            </w:r>
          </w:p>
        </w:tc>
      </w:tr>
      <w:tr w:rsidR="000A3ECD" w:rsidRPr="009024F5" w14:paraId="0237802B" w14:textId="77777777" w:rsidTr="00802606">
        <w:trPr>
          <w:trHeight w:val="355"/>
          <w:jc w:val="center"/>
        </w:trPr>
        <w:tc>
          <w:tcPr>
            <w:tcW w:w="1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CE57E" w14:textId="6CE9D120" w:rsidR="000A3ECD" w:rsidRPr="00802606" w:rsidRDefault="0063102B" w:rsidP="009024F5">
            <w:pPr>
              <w:spacing w:after="0" w:line="240" w:lineRule="auto"/>
              <w:jc w:val="both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F</w:t>
            </w:r>
            <w:r w:rsidR="009024F5"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ortalecimiento de los instrumentos de gestión documental nacional</w:t>
            </w: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.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CF2AE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1.436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6EA3B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1.124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4BE49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323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4E317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312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779C7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323</w:t>
            </w:r>
          </w:p>
        </w:tc>
      </w:tr>
      <w:tr w:rsidR="000A3ECD" w:rsidRPr="009024F5" w14:paraId="2C37CCA1" w14:textId="77777777" w:rsidTr="00802606">
        <w:trPr>
          <w:trHeight w:val="889"/>
          <w:jc w:val="center"/>
        </w:trPr>
        <w:tc>
          <w:tcPr>
            <w:tcW w:w="1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C9FEE" w14:textId="636F3ACA" w:rsidR="000A3ECD" w:rsidRPr="00802606" w:rsidRDefault="0063102B" w:rsidP="009024F5">
            <w:pPr>
              <w:spacing w:after="0" w:line="240" w:lineRule="auto"/>
              <w:jc w:val="both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F</w:t>
            </w:r>
            <w:r w:rsidR="009024F5"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ortalecimiento de las capacidades tecnológicas del ministerio de minas y energía para facilitar el uso, acceso y aprovechamiento de la información minero energética a nivel nacional</w:t>
            </w: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.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02AAD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4.929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22F0E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4.057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3D778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3.411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DF6F4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872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6B736B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color w:val="000000"/>
                <w:sz w:val="18"/>
                <w:szCs w:val="18"/>
                <w:lang w:eastAsia="es-CO"/>
              </w:rPr>
              <w:t>3.393</w:t>
            </w:r>
          </w:p>
        </w:tc>
      </w:tr>
      <w:tr w:rsidR="000A3ECD" w:rsidRPr="009024F5" w14:paraId="6004A0A7" w14:textId="77777777" w:rsidTr="00802606">
        <w:trPr>
          <w:trHeight w:val="579"/>
          <w:jc w:val="center"/>
        </w:trPr>
        <w:tc>
          <w:tcPr>
            <w:tcW w:w="1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B20085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  <w:t xml:space="preserve">Total Inversión 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ECAEBD3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  <w:t>4.008.535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9C5BAB9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  <w:t>3.500.967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199001B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  <w:t>3.174.506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A5EEC9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  <w:t>507.568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09E0DF" w14:textId="77777777" w:rsidR="000A3ECD" w:rsidRPr="00802606" w:rsidRDefault="000A3ECD" w:rsidP="009024F5">
            <w:pPr>
              <w:spacing w:after="0" w:line="240" w:lineRule="auto"/>
              <w:jc w:val="center"/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</w:pPr>
            <w:r w:rsidRPr="00802606">
              <w:rPr>
                <w:rFonts w:ascii="Work Sans" w:eastAsia="Times New Roman" w:hAnsi="Work Sans" w:cs="Calibri"/>
                <w:b/>
                <w:bCs/>
                <w:sz w:val="18"/>
                <w:szCs w:val="18"/>
                <w:lang w:eastAsia="es-CO"/>
              </w:rPr>
              <w:t>3.173.901</w:t>
            </w:r>
          </w:p>
        </w:tc>
      </w:tr>
    </w:tbl>
    <w:p w14:paraId="3392BDCD" w14:textId="77777777" w:rsidR="0063102B" w:rsidRDefault="0063102B" w:rsidP="009024F5">
      <w:pPr>
        <w:pStyle w:val="Sinespaciado"/>
        <w:jc w:val="center"/>
        <w:rPr>
          <w:rFonts w:ascii="Work Sans" w:hAnsi="Work Sans" w:cs="Arial"/>
          <w:sz w:val="20"/>
          <w:szCs w:val="20"/>
          <w:lang w:val="es-ES_tradnl"/>
        </w:rPr>
      </w:pPr>
    </w:p>
    <w:p w14:paraId="2C94181C" w14:textId="028E9910" w:rsidR="000A3ECD" w:rsidRPr="0063102B" w:rsidRDefault="000A3ECD" w:rsidP="009024F5">
      <w:pPr>
        <w:pStyle w:val="Sinespaciado"/>
        <w:jc w:val="center"/>
        <w:rPr>
          <w:rFonts w:ascii="Work Sans" w:hAnsi="Work Sans" w:cs="Arial"/>
          <w:sz w:val="20"/>
          <w:szCs w:val="20"/>
          <w:lang w:val="es-ES_tradnl"/>
        </w:rPr>
      </w:pPr>
      <w:r w:rsidRPr="0063102B">
        <w:rPr>
          <w:rFonts w:ascii="Work Sans" w:hAnsi="Work Sans" w:cs="Arial"/>
          <w:b/>
          <w:bCs/>
          <w:sz w:val="20"/>
          <w:szCs w:val="20"/>
          <w:lang w:val="es-ES_tradnl"/>
        </w:rPr>
        <w:t>Fuente:</w:t>
      </w:r>
      <w:r w:rsidRPr="0063102B">
        <w:rPr>
          <w:rFonts w:ascii="Work Sans" w:hAnsi="Work Sans" w:cs="Arial"/>
          <w:sz w:val="20"/>
          <w:szCs w:val="20"/>
          <w:lang w:val="es-ES_tradnl"/>
        </w:rPr>
        <w:t xml:space="preserve"> SIIF NACIÓN</w:t>
      </w:r>
      <w:r w:rsidR="007225AF" w:rsidRPr="0063102B">
        <w:rPr>
          <w:rFonts w:ascii="Work Sans" w:hAnsi="Work Sans" w:cs="Arial"/>
          <w:sz w:val="20"/>
          <w:szCs w:val="20"/>
          <w:lang w:val="es-ES_tradnl"/>
        </w:rPr>
        <w:t>.</w:t>
      </w:r>
    </w:p>
    <w:p w14:paraId="20E64CC1" w14:textId="77777777" w:rsidR="00802606" w:rsidRPr="009024F5" w:rsidRDefault="00802606" w:rsidP="009024F5">
      <w:pPr>
        <w:pStyle w:val="Sinespaciado"/>
        <w:rPr>
          <w:rFonts w:ascii="Work Sans" w:hAnsi="Work Sans" w:cs="Arial"/>
          <w:sz w:val="24"/>
          <w:szCs w:val="24"/>
          <w:lang w:val="es-ES_tradnl"/>
        </w:rPr>
      </w:pPr>
    </w:p>
    <w:p w14:paraId="14C32599" w14:textId="63544A3D" w:rsidR="000A3ECD" w:rsidRPr="00802606" w:rsidRDefault="000A3ECD" w:rsidP="00802606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Work Sans" w:hAnsi="Work Sans"/>
          <w:b/>
          <w:bCs/>
          <w:sz w:val="24"/>
          <w:szCs w:val="24"/>
        </w:rPr>
      </w:pPr>
      <w:r w:rsidRPr="00802606">
        <w:rPr>
          <w:rFonts w:ascii="Work Sans" w:hAnsi="Work Sans"/>
          <w:b/>
          <w:bCs/>
          <w:sz w:val="24"/>
          <w:szCs w:val="24"/>
        </w:rPr>
        <w:t>Ejecución presupuestal con corte al 27 de diciembre de 2022, donde se refleja un nivel de ejecución en compromisos del 94% y en obligaciones del 86.4%</w:t>
      </w:r>
    </w:p>
    <w:p w14:paraId="2E14C1B8" w14:textId="77777777" w:rsidR="000A3ECD" w:rsidRPr="0063102B" w:rsidRDefault="000A3ECD" w:rsidP="009024F5">
      <w:pPr>
        <w:spacing w:after="0" w:line="240" w:lineRule="auto"/>
        <w:rPr>
          <w:rFonts w:ascii="Work Sans" w:hAnsi="Work Sans"/>
          <w:b/>
          <w:bCs/>
          <w:sz w:val="20"/>
          <w:szCs w:val="20"/>
        </w:rPr>
      </w:pPr>
    </w:p>
    <w:p w14:paraId="1D861CDA" w14:textId="446CD1D3" w:rsidR="000A3ECD" w:rsidRPr="0063102B" w:rsidRDefault="000A3ECD" w:rsidP="009024F5">
      <w:pPr>
        <w:spacing w:after="0" w:line="240" w:lineRule="auto"/>
        <w:jc w:val="center"/>
        <w:rPr>
          <w:rFonts w:ascii="Work Sans" w:hAnsi="Work Sans"/>
          <w:b/>
          <w:bCs/>
          <w:sz w:val="20"/>
          <w:szCs w:val="20"/>
        </w:rPr>
      </w:pPr>
      <w:r w:rsidRPr="0063102B">
        <w:rPr>
          <w:rFonts w:ascii="Work Sans" w:hAnsi="Work Sans"/>
          <w:b/>
          <w:bCs/>
          <w:sz w:val="20"/>
          <w:szCs w:val="20"/>
        </w:rPr>
        <w:t>EJECUCIÓN PRESUPUESTAL MINISTERIO DE MINAS Y ENERGÍA – GESTIÓN GENERAL A 27 DE DICIEMBRE DE 2022</w:t>
      </w:r>
      <w:r w:rsidR="007225AF" w:rsidRPr="0063102B">
        <w:rPr>
          <w:rFonts w:ascii="Work Sans" w:hAnsi="Work Sans"/>
          <w:b/>
          <w:bCs/>
          <w:sz w:val="20"/>
          <w:szCs w:val="20"/>
        </w:rPr>
        <w:t>.</w:t>
      </w:r>
    </w:p>
    <w:p w14:paraId="3D0D8880" w14:textId="77777777" w:rsidR="000A3ECD" w:rsidRPr="0063102B" w:rsidRDefault="000A3ECD" w:rsidP="009024F5">
      <w:pPr>
        <w:spacing w:after="0" w:line="240" w:lineRule="auto"/>
        <w:rPr>
          <w:rFonts w:ascii="Work Sans" w:hAnsi="Work Sans"/>
          <w:sz w:val="20"/>
          <w:szCs w:val="20"/>
        </w:rPr>
      </w:pPr>
      <w:r w:rsidRPr="00802606">
        <w:rPr>
          <w:rFonts w:ascii="Work Sans" w:hAnsi="Work Sans"/>
          <w:b/>
          <w:bCs/>
          <w:noProof/>
          <w:sz w:val="16"/>
          <w:szCs w:val="16"/>
          <w:lang w:eastAsia="es-CO"/>
        </w:rPr>
        <w:drawing>
          <wp:inline distT="0" distB="0" distL="0" distR="0" wp14:anchorId="21C51186" wp14:editId="203DF8AE">
            <wp:extent cx="6151245" cy="2434590"/>
            <wp:effectExtent l="0" t="0" r="0" b="0"/>
            <wp:docPr id="1" name="Imagen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1245" cy="243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7EC5E8" w14:textId="77777777" w:rsidR="00F64E17" w:rsidRPr="0063102B" w:rsidRDefault="00F64E17" w:rsidP="009024F5">
      <w:pPr>
        <w:spacing w:after="0" w:line="240" w:lineRule="auto"/>
        <w:ind w:left="6946" w:hanging="6804"/>
        <w:jc w:val="both"/>
        <w:rPr>
          <w:rFonts w:ascii="Work Sans" w:eastAsia="Times New Roman" w:hAnsi="Work Sans"/>
          <w:b/>
          <w:bCs/>
          <w:sz w:val="20"/>
          <w:szCs w:val="20"/>
          <w:lang w:val="pt-BR" w:eastAsia="es-ES"/>
        </w:rPr>
      </w:pPr>
    </w:p>
    <w:p w14:paraId="480D55B1" w14:textId="3E1B4F99" w:rsidR="00F64E17" w:rsidRDefault="000A3ECD" w:rsidP="0063102B">
      <w:pPr>
        <w:spacing w:after="0" w:line="240" w:lineRule="auto"/>
        <w:jc w:val="center"/>
        <w:rPr>
          <w:rFonts w:ascii="Work Sans" w:eastAsia="Times New Roman" w:hAnsi="Work Sans"/>
          <w:b/>
          <w:bCs/>
          <w:sz w:val="20"/>
          <w:szCs w:val="20"/>
          <w:lang w:val="pt-BR" w:eastAsia="es-ES"/>
        </w:rPr>
      </w:pPr>
      <w:r w:rsidRPr="0063102B">
        <w:rPr>
          <w:rFonts w:ascii="Work Sans" w:eastAsia="Times New Roman" w:hAnsi="Work Sans"/>
          <w:b/>
          <w:bCs/>
          <w:sz w:val="20"/>
          <w:szCs w:val="20"/>
          <w:lang w:val="pt-BR" w:eastAsia="es-ES"/>
        </w:rPr>
        <w:t>INVERSI</w:t>
      </w:r>
      <w:r w:rsidR="007225AF" w:rsidRPr="0063102B">
        <w:rPr>
          <w:rFonts w:ascii="Work Sans" w:eastAsia="Times New Roman" w:hAnsi="Work Sans"/>
          <w:b/>
          <w:bCs/>
          <w:sz w:val="20"/>
          <w:szCs w:val="20"/>
          <w:lang w:val="pt-BR" w:eastAsia="es-ES"/>
        </w:rPr>
        <w:t>Ó</w:t>
      </w:r>
      <w:r w:rsidRPr="0063102B">
        <w:rPr>
          <w:rFonts w:ascii="Work Sans" w:eastAsia="Times New Roman" w:hAnsi="Work Sans"/>
          <w:b/>
          <w:bCs/>
          <w:sz w:val="20"/>
          <w:szCs w:val="20"/>
          <w:lang w:val="pt-BR" w:eastAsia="es-ES"/>
        </w:rPr>
        <w:t>N</w:t>
      </w:r>
    </w:p>
    <w:p w14:paraId="38C96A80" w14:textId="77777777" w:rsidR="00802606" w:rsidRPr="0063102B" w:rsidRDefault="00802606" w:rsidP="0063102B">
      <w:pPr>
        <w:spacing w:after="0" w:line="240" w:lineRule="auto"/>
        <w:jc w:val="center"/>
        <w:rPr>
          <w:rFonts w:ascii="Work Sans" w:hAnsi="Work Sans" w:cs="Arial"/>
          <w:sz w:val="20"/>
          <w:szCs w:val="20"/>
          <w:lang w:val="pt-BR"/>
        </w:rPr>
      </w:pPr>
    </w:p>
    <w:p w14:paraId="517A8F9D" w14:textId="77777777" w:rsidR="0063102B" w:rsidRDefault="000A3ECD" w:rsidP="0063102B">
      <w:pPr>
        <w:spacing w:after="0" w:line="240" w:lineRule="auto"/>
        <w:jc w:val="center"/>
        <w:rPr>
          <w:rFonts w:ascii="Work Sans" w:hAnsi="Work Sans" w:cs="Arial"/>
          <w:sz w:val="20"/>
          <w:szCs w:val="20"/>
          <w:lang w:val="es-MX"/>
        </w:rPr>
      </w:pPr>
      <w:r w:rsidRPr="0063102B">
        <w:rPr>
          <w:rFonts w:ascii="Work Sans" w:hAnsi="Work Sans" w:cs="Arial"/>
          <w:sz w:val="20"/>
          <w:szCs w:val="20"/>
          <w:lang w:val="es-MX"/>
        </w:rPr>
        <w:t>Cifras en millones de pesos</w:t>
      </w:r>
    </w:p>
    <w:p w14:paraId="035B8B16" w14:textId="77777777" w:rsidR="0063102B" w:rsidRDefault="0063102B" w:rsidP="0063102B">
      <w:pPr>
        <w:spacing w:after="0" w:line="240" w:lineRule="auto"/>
        <w:jc w:val="center"/>
        <w:rPr>
          <w:rFonts w:ascii="Work Sans" w:hAnsi="Work Sans" w:cs="Arial"/>
          <w:sz w:val="20"/>
          <w:szCs w:val="20"/>
          <w:lang w:val="es-MX"/>
        </w:rPr>
      </w:pPr>
    </w:p>
    <w:p w14:paraId="19316B18" w14:textId="65E45346" w:rsidR="000A3ECD" w:rsidRPr="0063102B" w:rsidRDefault="000A3ECD" w:rsidP="0063102B">
      <w:pPr>
        <w:spacing w:after="0" w:line="240" w:lineRule="auto"/>
        <w:jc w:val="center"/>
        <w:rPr>
          <w:rFonts w:ascii="Work Sans" w:eastAsia="Times New Roman" w:hAnsi="Work Sans"/>
          <w:sz w:val="20"/>
          <w:szCs w:val="20"/>
          <w:lang w:val="pt-BR" w:eastAsia="es-ES"/>
        </w:rPr>
      </w:pPr>
      <w:r w:rsidRPr="0063102B">
        <w:rPr>
          <w:rFonts w:ascii="Work Sans" w:hAnsi="Work Sans"/>
          <w:noProof/>
          <w:sz w:val="20"/>
          <w:szCs w:val="20"/>
          <w:lang w:eastAsia="es-CO"/>
        </w:rPr>
        <w:drawing>
          <wp:inline distT="0" distB="0" distL="0" distR="0" wp14:anchorId="0479EB21" wp14:editId="543E0224">
            <wp:extent cx="6151245" cy="3669665"/>
            <wp:effectExtent l="0" t="0" r="0" b="0"/>
            <wp:docPr id="7" name="Imagen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1245" cy="3669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E63B15" w14:textId="77777777" w:rsidR="000A3ECD" w:rsidRPr="0063102B" w:rsidRDefault="000A3ECD" w:rsidP="009024F5">
      <w:pPr>
        <w:spacing w:after="0" w:line="240" w:lineRule="auto"/>
        <w:rPr>
          <w:rFonts w:ascii="Work Sans" w:eastAsia="Times New Roman" w:hAnsi="Work Sans"/>
          <w:sz w:val="20"/>
          <w:szCs w:val="20"/>
          <w:lang w:val="pt-BR" w:eastAsia="es-ES"/>
        </w:rPr>
      </w:pPr>
    </w:p>
    <w:p w14:paraId="7675536A" w14:textId="77777777" w:rsidR="000A3ECD" w:rsidRPr="0063102B" w:rsidRDefault="000A3ECD" w:rsidP="009024F5">
      <w:pPr>
        <w:spacing w:after="0" w:line="240" w:lineRule="auto"/>
        <w:rPr>
          <w:rFonts w:ascii="Work Sans" w:eastAsia="Times New Roman" w:hAnsi="Work Sans"/>
          <w:sz w:val="20"/>
          <w:szCs w:val="20"/>
          <w:lang w:val="pt-BR" w:eastAsia="es-ES"/>
        </w:rPr>
      </w:pPr>
      <w:r w:rsidRPr="0063102B">
        <w:rPr>
          <w:rFonts w:ascii="Work Sans" w:hAnsi="Work Sans"/>
          <w:noProof/>
          <w:sz w:val="20"/>
          <w:szCs w:val="20"/>
          <w:lang w:eastAsia="es-CO"/>
        </w:rPr>
        <w:lastRenderedPageBreak/>
        <w:drawing>
          <wp:inline distT="0" distB="0" distL="0" distR="0" wp14:anchorId="69E4FEE9" wp14:editId="111416B3">
            <wp:extent cx="6151245" cy="7232015"/>
            <wp:effectExtent l="0" t="0" r="0" b="0"/>
            <wp:docPr id="8" name="Imagen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1245" cy="7232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0E11F5" w14:textId="77777777" w:rsidR="000A3ECD" w:rsidRPr="0063102B" w:rsidRDefault="000A3ECD" w:rsidP="009024F5">
      <w:pPr>
        <w:spacing w:after="0" w:line="240" w:lineRule="auto"/>
        <w:rPr>
          <w:rFonts w:ascii="Work Sans" w:eastAsia="Times New Roman" w:hAnsi="Work Sans"/>
          <w:sz w:val="20"/>
          <w:szCs w:val="20"/>
          <w:lang w:val="pt-BR" w:eastAsia="es-ES"/>
        </w:rPr>
      </w:pPr>
      <w:r w:rsidRPr="0063102B">
        <w:rPr>
          <w:rFonts w:ascii="Work Sans" w:hAnsi="Work Sans"/>
          <w:noProof/>
          <w:sz w:val="20"/>
          <w:szCs w:val="20"/>
          <w:lang w:eastAsia="es-CO"/>
        </w:rPr>
        <w:lastRenderedPageBreak/>
        <w:drawing>
          <wp:inline distT="0" distB="0" distL="0" distR="0" wp14:anchorId="4AB793A3" wp14:editId="7FA7C068">
            <wp:extent cx="6151245" cy="7315200"/>
            <wp:effectExtent l="0" t="0" r="0" b="0"/>
            <wp:docPr id="4" name="Imagen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1245" cy="731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D38EA3" w14:textId="77777777" w:rsidR="000A3ECD" w:rsidRPr="0063102B" w:rsidRDefault="000A3ECD" w:rsidP="009024F5">
      <w:pPr>
        <w:spacing w:after="0" w:line="240" w:lineRule="auto"/>
        <w:rPr>
          <w:rFonts w:ascii="Work Sans" w:eastAsia="Times New Roman" w:hAnsi="Work Sans"/>
          <w:sz w:val="20"/>
          <w:szCs w:val="20"/>
          <w:lang w:val="pt-BR" w:eastAsia="es-ES"/>
        </w:rPr>
      </w:pPr>
      <w:r w:rsidRPr="0063102B">
        <w:rPr>
          <w:rFonts w:ascii="Work Sans" w:hAnsi="Work Sans"/>
          <w:noProof/>
          <w:sz w:val="20"/>
          <w:szCs w:val="20"/>
          <w:lang w:eastAsia="es-CO"/>
        </w:rPr>
        <w:lastRenderedPageBreak/>
        <w:drawing>
          <wp:inline distT="0" distB="0" distL="0" distR="0" wp14:anchorId="618D6112" wp14:editId="07D1E328">
            <wp:extent cx="6151245" cy="7006590"/>
            <wp:effectExtent l="0" t="0" r="0" b="0"/>
            <wp:docPr id="5" name="Imagen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1245" cy="7006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13EA9D" w14:textId="77777777" w:rsidR="000A3ECD" w:rsidRPr="0063102B" w:rsidRDefault="000A3ECD" w:rsidP="009024F5">
      <w:pPr>
        <w:spacing w:after="0" w:line="240" w:lineRule="auto"/>
        <w:rPr>
          <w:rFonts w:ascii="Work Sans" w:eastAsia="Times New Roman" w:hAnsi="Work Sans"/>
          <w:sz w:val="20"/>
          <w:szCs w:val="20"/>
          <w:lang w:val="pt-BR" w:eastAsia="es-ES"/>
        </w:rPr>
      </w:pPr>
    </w:p>
    <w:p w14:paraId="761C7C59" w14:textId="77777777" w:rsidR="000A3ECD" w:rsidRPr="0063102B" w:rsidRDefault="000A3ECD" w:rsidP="009024F5">
      <w:pPr>
        <w:spacing w:after="0" w:line="240" w:lineRule="auto"/>
        <w:rPr>
          <w:rFonts w:ascii="Work Sans" w:eastAsia="Times New Roman" w:hAnsi="Work Sans"/>
          <w:sz w:val="20"/>
          <w:szCs w:val="20"/>
          <w:lang w:val="pt-BR" w:eastAsia="es-ES"/>
        </w:rPr>
      </w:pPr>
      <w:r w:rsidRPr="0063102B">
        <w:rPr>
          <w:rFonts w:ascii="Work Sans" w:hAnsi="Work Sans"/>
          <w:noProof/>
          <w:sz w:val="20"/>
          <w:szCs w:val="20"/>
          <w:lang w:eastAsia="es-CO"/>
        </w:rPr>
        <w:lastRenderedPageBreak/>
        <w:drawing>
          <wp:inline distT="0" distB="0" distL="0" distR="0" wp14:anchorId="1A04336D" wp14:editId="2E35916C">
            <wp:extent cx="6151245" cy="5438775"/>
            <wp:effectExtent l="0" t="0" r="0" b="0"/>
            <wp:docPr id="6" name="Imagen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1245" cy="543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14BAB1" w14:textId="574AC46F" w:rsidR="0049664E" w:rsidRPr="009024F5" w:rsidRDefault="0049664E" w:rsidP="009024F5">
      <w:pPr>
        <w:spacing w:after="0" w:line="240" w:lineRule="auto"/>
        <w:jc w:val="both"/>
        <w:rPr>
          <w:rFonts w:ascii="Work Sans" w:hAnsi="Work Sans"/>
          <w:sz w:val="24"/>
          <w:szCs w:val="24"/>
          <w:lang w:val="es-MX"/>
        </w:rPr>
      </w:pPr>
    </w:p>
    <w:p w14:paraId="19EB9E91" w14:textId="0177A7E1" w:rsidR="00F64E17" w:rsidRPr="009024F5" w:rsidRDefault="00F64E17" w:rsidP="009024F5">
      <w:pPr>
        <w:pStyle w:val="NormalWeb"/>
        <w:spacing w:beforeAutospacing="0" w:after="0" w:afterAutospacing="0"/>
        <w:ind w:right="51"/>
        <w:contextualSpacing/>
        <w:jc w:val="both"/>
        <w:rPr>
          <w:rFonts w:ascii="Work Sans" w:hAnsi="Work Sans"/>
        </w:rPr>
      </w:pPr>
      <w:r w:rsidRPr="009024F5">
        <w:rPr>
          <w:rFonts w:ascii="Work Sans" w:hAnsi="Work Sans"/>
        </w:rPr>
        <w:t xml:space="preserve">Esperamos haber resuelto de manera satisfactoria la presente </w:t>
      </w:r>
      <w:r w:rsidR="007F48B5" w:rsidRPr="009024F5">
        <w:rPr>
          <w:rFonts w:ascii="Work Sans" w:hAnsi="Work Sans"/>
        </w:rPr>
        <w:t>Proposición</w:t>
      </w:r>
      <w:r w:rsidRPr="009024F5">
        <w:rPr>
          <w:rFonts w:ascii="Work Sans" w:hAnsi="Work Sans"/>
        </w:rPr>
        <w:t>, señalando que de requerirse alguna información adicional con gusto será atendida.</w:t>
      </w:r>
    </w:p>
    <w:sectPr w:rsidR="00F64E17" w:rsidRPr="009024F5">
      <w:headerReference w:type="default" r:id="rId16"/>
      <w:footerReference w:type="default" r:id="rId1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B8D220" w14:textId="77777777" w:rsidR="001A5027" w:rsidRDefault="001A5027" w:rsidP="00EB08F5">
      <w:pPr>
        <w:spacing w:after="0" w:line="240" w:lineRule="auto"/>
      </w:pPr>
      <w:r>
        <w:separator/>
      </w:r>
    </w:p>
  </w:endnote>
  <w:endnote w:type="continuationSeparator" w:id="0">
    <w:p w14:paraId="49FA970A" w14:textId="77777777" w:rsidR="001A5027" w:rsidRDefault="001A5027" w:rsidP="00EB0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ork Sans">
    <w:altName w:val="Times New Roman"/>
    <w:charset w:val="00"/>
    <w:family w:val="auto"/>
    <w:pitch w:val="variable"/>
    <w:sig w:usb0="00000001" w:usb1="5000E07B" w:usb2="00000000" w:usb3="00000000" w:csb0="00000193" w:csb1="00000000"/>
  </w:font>
  <w:font w:name="WORK SANS REGULAR ROMAN">
    <w:altName w:val="Calibri"/>
    <w:charset w:val="00"/>
    <w:family w:val="auto"/>
    <w:pitch w:val="variable"/>
    <w:sig w:usb0="A00000FF" w:usb1="5000E07B" w:usb2="00000000" w:usb3="00000000" w:csb0="000001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5AE0D" w14:textId="0DAE2F6B" w:rsidR="00EB08F5" w:rsidRDefault="00EB08F5">
    <w:pPr>
      <w:pStyle w:val="Piedepgina"/>
    </w:pPr>
    <w:r>
      <w:rPr>
        <w:noProof/>
        <w:lang w:eastAsia="es-CO"/>
      </w:rPr>
      <w:drawing>
        <wp:anchor distT="0" distB="0" distL="0" distR="0" simplePos="0" relativeHeight="251661312" behindDoc="1" locked="0" layoutInCell="0" allowOverlap="1" wp14:anchorId="6E5DD976" wp14:editId="1675877A">
          <wp:simplePos x="0" y="0"/>
          <wp:positionH relativeFrom="page">
            <wp:align>right</wp:align>
          </wp:positionH>
          <wp:positionV relativeFrom="paragraph">
            <wp:posOffset>-257175</wp:posOffset>
          </wp:positionV>
          <wp:extent cx="7752080" cy="934720"/>
          <wp:effectExtent l="0" t="0" r="1270" b="0"/>
          <wp:wrapNone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752080" cy="934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8F104D" w14:textId="77777777" w:rsidR="001A5027" w:rsidRDefault="001A5027" w:rsidP="00EB08F5">
      <w:pPr>
        <w:spacing w:after="0" w:line="240" w:lineRule="auto"/>
      </w:pPr>
      <w:r>
        <w:separator/>
      </w:r>
    </w:p>
  </w:footnote>
  <w:footnote w:type="continuationSeparator" w:id="0">
    <w:p w14:paraId="736520AF" w14:textId="77777777" w:rsidR="001A5027" w:rsidRDefault="001A5027" w:rsidP="00EB0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D0CDE" w14:textId="61127997" w:rsidR="00EB08F5" w:rsidRDefault="00EB08F5">
    <w:pPr>
      <w:pStyle w:val="Encabezado"/>
    </w:pPr>
    <w:r>
      <w:rPr>
        <w:rFonts w:ascii="WORK SANS REGULAR ROMAN" w:eastAsia="Arial Unicode MS" w:hAnsi="WORK SANS REGULAR ROMAN" w:cs="Arial"/>
        <w:noProof/>
        <w:sz w:val="18"/>
        <w:szCs w:val="20"/>
        <w:lang w:eastAsia="es-CO"/>
      </w:rPr>
      <w:drawing>
        <wp:anchor distT="0" distB="0" distL="114300" distR="114300" simplePos="0" relativeHeight="251659264" behindDoc="0" locked="0" layoutInCell="1" allowOverlap="1" wp14:anchorId="1CCF8CFE" wp14:editId="749F9FAD">
          <wp:simplePos x="0" y="0"/>
          <wp:positionH relativeFrom="column">
            <wp:posOffset>-723900</wp:posOffset>
          </wp:positionH>
          <wp:positionV relativeFrom="paragraph">
            <wp:posOffset>-210185</wp:posOffset>
          </wp:positionV>
          <wp:extent cx="2905125" cy="487680"/>
          <wp:effectExtent l="0" t="0" r="9525" b="7620"/>
          <wp:wrapNone/>
          <wp:docPr id="3" name="Imagen 3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512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24213"/>
    <w:multiLevelType w:val="hybridMultilevel"/>
    <w:tmpl w:val="C7E0937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87DAD"/>
    <w:multiLevelType w:val="hybridMultilevel"/>
    <w:tmpl w:val="07EE9956"/>
    <w:lvl w:ilvl="0" w:tplc="901CEB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23473"/>
    <w:multiLevelType w:val="hybridMultilevel"/>
    <w:tmpl w:val="E9F4F600"/>
    <w:lvl w:ilvl="0" w:tplc="E9E4592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506" w:hanging="360"/>
      </w:pPr>
    </w:lvl>
    <w:lvl w:ilvl="2" w:tplc="040A001B" w:tentative="1">
      <w:start w:val="1"/>
      <w:numFmt w:val="lowerRoman"/>
      <w:lvlText w:val="%3."/>
      <w:lvlJc w:val="right"/>
      <w:pPr>
        <w:ind w:left="2226" w:hanging="180"/>
      </w:pPr>
    </w:lvl>
    <w:lvl w:ilvl="3" w:tplc="040A000F" w:tentative="1">
      <w:start w:val="1"/>
      <w:numFmt w:val="decimal"/>
      <w:lvlText w:val="%4."/>
      <w:lvlJc w:val="left"/>
      <w:pPr>
        <w:ind w:left="2946" w:hanging="360"/>
      </w:pPr>
    </w:lvl>
    <w:lvl w:ilvl="4" w:tplc="040A0019" w:tentative="1">
      <w:start w:val="1"/>
      <w:numFmt w:val="lowerLetter"/>
      <w:lvlText w:val="%5."/>
      <w:lvlJc w:val="left"/>
      <w:pPr>
        <w:ind w:left="3666" w:hanging="360"/>
      </w:pPr>
    </w:lvl>
    <w:lvl w:ilvl="5" w:tplc="040A001B" w:tentative="1">
      <w:start w:val="1"/>
      <w:numFmt w:val="lowerRoman"/>
      <w:lvlText w:val="%6."/>
      <w:lvlJc w:val="right"/>
      <w:pPr>
        <w:ind w:left="4386" w:hanging="180"/>
      </w:pPr>
    </w:lvl>
    <w:lvl w:ilvl="6" w:tplc="040A000F" w:tentative="1">
      <w:start w:val="1"/>
      <w:numFmt w:val="decimal"/>
      <w:lvlText w:val="%7."/>
      <w:lvlJc w:val="left"/>
      <w:pPr>
        <w:ind w:left="5106" w:hanging="360"/>
      </w:pPr>
    </w:lvl>
    <w:lvl w:ilvl="7" w:tplc="040A0019" w:tentative="1">
      <w:start w:val="1"/>
      <w:numFmt w:val="lowerLetter"/>
      <w:lvlText w:val="%8."/>
      <w:lvlJc w:val="left"/>
      <w:pPr>
        <w:ind w:left="5826" w:hanging="360"/>
      </w:pPr>
    </w:lvl>
    <w:lvl w:ilvl="8" w:tplc="04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04D27B5"/>
    <w:multiLevelType w:val="hybridMultilevel"/>
    <w:tmpl w:val="E8F48320"/>
    <w:lvl w:ilvl="0" w:tplc="240A000F">
      <w:start w:val="1"/>
      <w:numFmt w:val="decimal"/>
      <w:lvlText w:val="%1."/>
      <w:lvlJc w:val="left"/>
      <w:pPr>
        <w:ind w:left="1068" w:hanging="360"/>
      </w:p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2E465B5"/>
    <w:multiLevelType w:val="hybridMultilevel"/>
    <w:tmpl w:val="5692A8FE"/>
    <w:lvl w:ilvl="0" w:tplc="901CEB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C106DF"/>
    <w:multiLevelType w:val="hybridMultilevel"/>
    <w:tmpl w:val="82545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D2101C"/>
    <w:multiLevelType w:val="hybridMultilevel"/>
    <w:tmpl w:val="0B66BF3A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8F5"/>
    <w:rsid w:val="000A3ECD"/>
    <w:rsid w:val="0017299A"/>
    <w:rsid w:val="001829F6"/>
    <w:rsid w:val="001A5027"/>
    <w:rsid w:val="003A5EA6"/>
    <w:rsid w:val="003E4929"/>
    <w:rsid w:val="0049664E"/>
    <w:rsid w:val="0063102B"/>
    <w:rsid w:val="007225AF"/>
    <w:rsid w:val="007F48B5"/>
    <w:rsid w:val="00802606"/>
    <w:rsid w:val="008C5B0A"/>
    <w:rsid w:val="009024F5"/>
    <w:rsid w:val="00A12317"/>
    <w:rsid w:val="00A20371"/>
    <w:rsid w:val="00B05435"/>
    <w:rsid w:val="00B12344"/>
    <w:rsid w:val="00B22A9B"/>
    <w:rsid w:val="00B66AF4"/>
    <w:rsid w:val="00BF2D3C"/>
    <w:rsid w:val="00C53DB3"/>
    <w:rsid w:val="00C62B64"/>
    <w:rsid w:val="00DD5B2A"/>
    <w:rsid w:val="00EB08F5"/>
    <w:rsid w:val="00EC5826"/>
    <w:rsid w:val="00F64E17"/>
    <w:rsid w:val="00F91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43353"/>
  <w15:chartTrackingRefBased/>
  <w15:docId w15:val="{C5788A0E-BD7F-4975-9986-CFA0F251F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08F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B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B08F5"/>
  </w:style>
  <w:style w:type="paragraph" w:styleId="Piedepgina">
    <w:name w:val="footer"/>
    <w:basedOn w:val="Normal"/>
    <w:link w:val="PiedepginaCar"/>
    <w:uiPriority w:val="99"/>
    <w:unhideWhenUsed/>
    <w:rsid w:val="00EB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B08F5"/>
  </w:style>
  <w:style w:type="character" w:customStyle="1" w:styleId="TextoindependienteCar">
    <w:name w:val="Texto independiente Car"/>
    <w:basedOn w:val="Fuentedeprrafopredeter"/>
    <w:link w:val="Textoindependiente"/>
    <w:qFormat/>
    <w:rsid w:val="00EB08F5"/>
    <w:rPr>
      <w:rFonts w:ascii="Arial" w:eastAsia="Times New Roman" w:hAnsi="Arial" w:cs="Times New Roman"/>
      <w:sz w:val="24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rsid w:val="00EB08F5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val="es-ES_tradnl"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EB08F5"/>
  </w:style>
  <w:style w:type="paragraph" w:styleId="Textonotapie">
    <w:name w:val="footnote text"/>
    <w:basedOn w:val="Normal"/>
    <w:link w:val="TextonotapieCar"/>
    <w:uiPriority w:val="99"/>
    <w:semiHidden/>
    <w:unhideWhenUsed/>
    <w:rsid w:val="00C53DB3"/>
    <w:pPr>
      <w:suppressAutoHyphens/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53DB3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C53DB3"/>
    <w:rPr>
      <w:vertAlign w:val="superscript"/>
    </w:rPr>
  </w:style>
  <w:style w:type="paragraph" w:styleId="Prrafodelista">
    <w:name w:val="List Paragraph"/>
    <w:basedOn w:val="Normal"/>
    <w:link w:val="PrrafodelistaCar"/>
    <w:uiPriority w:val="34"/>
    <w:qFormat/>
    <w:rsid w:val="0049664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49664E"/>
    <w:rPr>
      <w:color w:val="0563C1" w:themeColor="hyperlink"/>
      <w:u w:val="single"/>
    </w:rPr>
  </w:style>
  <w:style w:type="character" w:customStyle="1" w:styleId="PrrafodelistaCar">
    <w:name w:val="Párrafo de lista Car"/>
    <w:link w:val="Prrafodelista"/>
    <w:uiPriority w:val="34"/>
    <w:rsid w:val="0049664E"/>
  </w:style>
  <w:style w:type="paragraph" w:styleId="NormalWeb">
    <w:name w:val="Normal (Web)"/>
    <w:basedOn w:val="Normal"/>
    <w:uiPriority w:val="99"/>
    <w:unhideWhenUsed/>
    <w:qFormat/>
    <w:rsid w:val="000A3ECD"/>
    <w:pPr>
      <w:suppressAutoHyphens/>
      <w:spacing w:beforeAutospacing="1" w:after="2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CO"/>
    </w:rPr>
  </w:style>
  <w:style w:type="paragraph" w:styleId="Sinespaciado">
    <w:name w:val="No Spacing"/>
    <w:uiPriority w:val="1"/>
    <w:qFormat/>
    <w:rsid w:val="000A3EC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69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9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e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emf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image" Target="media/image6.emf"/><Relationship Id="rId10" Type="http://schemas.openxmlformats.org/officeDocument/2006/relationships/image" Target="media/image1.emf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CCD901C4501449A86A24F4F0AC0678" ma:contentTypeVersion="14" ma:contentTypeDescription="Create a new document." ma:contentTypeScope="" ma:versionID="8b33bbd0d054efa45d509fd624cdf893">
  <xsd:schema xmlns:xsd="http://www.w3.org/2001/XMLSchema" xmlns:xs="http://www.w3.org/2001/XMLSchema" xmlns:p="http://schemas.microsoft.com/office/2006/metadata/properties" xmlns:ns2="38d40274-ed19-48ce-a15e-e059463c1775" xmlns:ns3="fb82d92b-cce1-4865-9e40-015a6266df31" targetNamespace="http://schemas.microsoft.com/office/2006/metadata/properties" ma:root="true" ma:fieldsID="138ea3fcda218cc5487654f0ff280514" ns2:_="" ns3:_="">
    <xsd:import namespace="38d40274-ed19-48ce-a15e-e059463c1775"/>
    <xsd:import namespace="fb82d92b-cce1-4865-9e40-015a6266df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d40274-ed19-48ce-a15e-e059463c17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2231ce5-edc9-4cf3-bcdc-afedc95ebd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82d92b-cce1-4865-9e40-015a6266df3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2cf36f9-85c4-45f3-b290-a3d33fbf27e1}" ma:internalName="TaxCatchAll" ma:showField="CatchAllData" ma:web="fb82d92b-cce1-4865-9e40-015a6266df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b82d92b-cce1-4865-9e40-015a6266df31" xsi:nil="true"/>
    <lcf76f155ced4ddcb4097134ff3c332f xmlns="38d40274-ed19-48ce-a15e-e059463c177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01FA962-539B-4866-AF70-3D35722C37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d40274-ed19-48ce-a15e-e059463c1775"/>
    <ds:schemaRef ds:uri="fb82d92b-cce1-4865-9e40-015a6266df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057CB1-6AC7-4733-82A0-7470C7225C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6518E2-38DE-4F1F-A258-9B44CDB76156}">
  <ds:schemaRefs>
    <ds:schemaRef ds:uri="http://schemas.microsoft.com/office/2006/metadata/properties"/>
    <ds:schemaRef ds:uri="http://schemas.microsoft.com/office/infopath/2007/PartnerControls"/>
    <ds:schemaRef ds:uri="fb82d92b-cce1-4865-9e40-015a6266df31"/>
    <ds:schemaRef ds:uri="38d40274-ed19-48ce-a15e-e059463c177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1345</Words>
  <Characters>7398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ortiz</dc:creator>
  <cp:keywords/>
  <dc:description/>
  <cp:lastModifiedBy>Hector Hernan Salinas Soto</cp:lastModifiedBy>
  <cp:revision>2</cp:revision>
  <dcterms:created xsi:type="dcterms:W3CDTF">2023-01-17T15:08:00Z</dcterms:created>
  <dcterms:modified xsi:type="dcterms:W3CDTF">2023-01-17T15:08:00Z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0x01010005CCD901C4501449A86A24F4F0AC0678</vt:lpwstr>
  </property>
</Properties>
</file>